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0FA0" w14:textId="6ACBEC0C" w:rsidR="003519D6" w:rsidRDefault="009126D4" w:rsidP="003519D6">
      <w:pPr>
        <w:pStyle w:val="Nadpis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49233" wp14:editId="6DD97063">
                <wp:simplePos x="0" y="0"/>
                <wp:positionH relativeFrom="column">
                  <wp:posOffset>722630</wp:posOffset>
                </wp:positionH>
                <wp:positionV relativeFrom="paragraph">
                  <wp:posOffset>165735</wp:posOffset>
                </wp:positionV>
                <wp:extent cx="5372100" cy="9474200"/>
                <wp:effectExtent l="0" t="0" r="0" b="0"/>
                <wp:wrapThrough wrapText="bothSides">
                  <wp:wrapPolygon edited="0">
                    <wp:start x="153" y="0"/>
                    <wp:lineTo x="153" y="21542"/>
                    <wp:lineTo x="21370" y="21542"/>
                    <wp:lineTo x="21370" y="0"/>
                    <wp:lineTo x="153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94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4EF60" w14:textId="4CF572F0" w:rsidR="003519D6" w:rsidRPr="00A93425" w:rsidRDefault="008312AC" w:rsidP="003519D6">
                            <w:pPr>
                              <w:pStyle w:val="Nzev"/>
                            </w:pPr>
                            <w:r w:rsidRPr="008312AC">
                              <w:t>Deset let obnovené činnosti společnosti aktuárů</w:t>
                            </w:r>
                          </w:p>
                          <w:p w14:paraId="1F301350" w14:textId="1F2696BD" w:rsidR="003519D6" w:rsidRPr="007D53FD" w:rsidRDefault="00B15051" w:rsidP="003519D6">
                            <w:pPr>
                              <w:pStyle w:val="Podnadpis"/>
                            </w:pPr>
                            <w:r>
                              <w:t>1992 - 2002</w:t>
                            </w:r>
                          </w:p>
                          <w:p w14:paraId="7BFD6664" w14:textId="77777777" w:rsidR="008312AC" w:rsidRDefault="008312AC" w:rsidP="00240936">
                            <w:pPr>
                              <w:pStyle w:val="AutorDatum"/>
                            </w:pPr>
                            <w:r w:rsidRPr="008312AC">
                              <w:t>Petr Mandl</w:t>
                            </w:r>
                          </w:p>
                          <w:p w14:paraId="47E7D94F" w14:textId="25D20D57" w:rsidR="00522276" w:rsidRPr="00240936" w:rsidRDefault="001F0363" w:rsidP="00240936">
                            <w:pPr>
                              <w:pStyle w:val="AutorDatum"/>
                            </w:pPr>
                            <w:r>
                              <w:t>c</w:t>
                            </w:r>
                            <w:r w:rsidR="008312AC">
                              <w:t>ca listopad 2002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49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9pt;margin-top:13.05pt;width:423pt;height:7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" filled="f" stroked="f">
                <v:textbox>
                  <w:txbxContent>
                    <w:p w14:paraId="5514EF60" w14:textId="4CF572F0" w:rsidR="003519D6" w:rsidRPr="00A93425" w:rsidRDefault="008312AC" w:rsidP="003519D6">
                      <w:pPr>
                        <w:pStyle w:val="Nzev"/>
                      </w:pPr>
                      <w:r w:rsidRPr="008312AC">
                        <w:t>Deset let obnovené činnosti společnosti aktuárů</w:t>
                      </w:r>
                    </w:p>
                    <w:p w14:paraId="1F301350" w14:textId="1F2696BD" w:rsidR="003519D6" w:rsidRPr="007D53FD" w:rsidRDefault="00B15051" w:rsidP="003519D6">
                      <w:pPr>
                        <w:pStyle w:val="Podnadpis"/>
                      </w:pPr>
                      <w:r>
                        <w:t>1992 - 2002</w:t>
                      </w:r>
                    </w:p>
                    <w:p w14:paraId="7BFD6664" w14:textId="77777777" w:rsidR="008312AC" w:rsidRDefault="008312AC" w:rsidP="00240936">
                      <w:pPr>
                        <w:pStyle w:val="AutorDatum"/>
                      </w:pPr>
                      <w:r w:rsidRPr="008312AC">
                        <w:t>Petr Mandl</w:t>
                      </w:r>
                    </w:p>
                    <w:p w14:paraId="47E7D94F" w14:textId="25D20D57" w:rsidR="00522276" w:rsidRPr="00240936" w:rsidRDefault="001F0363" w:rsidP="00240936">
                      <w:pPr>
                        <w:pStyle w:val="AutorDatum"/>
                      </w:pPr>
                      <w:r>
                        <w:t>c</w:t>
                      </w:r>
                      <w:r w:rsidR="008312AC">
                        <w:t>ca listopad 2002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1DC0">
        <w:br w:type="page"/>
      </w:r>
      <w:r w:rsidR="00E326CD" w:rsidRPr="00E326CD">
        <w:lastRenderedPageBreak/>
        <w:t>Deset let obnovené činnosti společnosti aktuárů</w:t>
      </w:r>
    </w:p>
    <w:p w14:paraId="4589BC90" w14:textId="3433A2C0" w:rsidR="003519D6" w:rsidRDefault="007B3259" w:rsidP="003519D6">
      <w:pPr>
        <w:pStyle w:val="Nadpis3"/>
      </w:pPr>
      <w:r>
        <w:t>Z</w:t>
      </w:r>
      <w:r w:rsidR="00146D7A">
        <w:t>aložení společnosti</w:t>
      </w:r>
      <w:r>
        <w:t xml:space="preserve"> (1992)</w:t>
      </w:r>
    </w:p>
    <w:p w14:paraId="374BF8A5" w14:textId="6920A552" w:rsidR="00E326CD" w:rsidRPr="00E326CD" w:rsidRDefault="00E326CD" w:rsidP="00E326CD">
      <w:r w:rsidRPr="00E326CD">
        <w:t xml:space="preserve">Podle stanov je Česká společnost aktuárů následníkem Spolku československých pojistných techniků, založeného 27. února 1919 za účelem </w:t>
      </w:r>
      <w:r w:rsidRPr="003C716C">
        <w:rPr>
          <w:i/>
          <w:iCs/>
        </w:rPr>
        <w:t>„soustředění duševních sil českých a slovenských pojistných techniků v zájmu pojistných a sociálních věd, jakož i hájení práv akademicky vzdělaných odborníků“</w:t>
      </w:r>
      <w:r w:rsidRPr="00E326CD">
        <w:t>.</w:t>
      </w:r>
    </w:p>
    <w:p w14:paraId="11810A70" w14:textId="554E7DB2" w:rsidR="00E326CD" w:rsidRPr="00E326CD" w:rsidRDefault="00E326CD" w:rsidP="00E326CD">
      <w:r w:rsidRPr="00E326CD">
        <w:t xml:space="preserve">Iniciativa ke znovuzaložení aktuárské společnosti vzešla z pojistně matematického oddělení Ministerstva práce a sociálních věcí. Byl to zejména aktuár britské vlády </w:t>
      </w:r>
      <w:r w:rsidR="00EB3371" w:rsidRPr="00A41177">
        <w:t xml:space="preserve">Christopher David </w:t>
      </w:r>
      <w:proofErr w:type="spellStart"/>
      <w:r w:rsidR="00EB3371" w:rsidRPr="00A41177">
        <w:t>Daykin</w:t>
      </w:r>
      <w:proofErr w:type="spellEnd"/>
      <w:r w:rsidRPr="00E326CD">
        <w:t>, který pracovníkům oddělení na jedné mezinárodní konferenci ustavení takové společnosti doporučil. Ředitel odboru sociálního zabezpečení J</w:t>
      </w:r>
      <w:r w:rsidR="00B3391D">
        <w:t>aroslav</w:t>
      </w:r>
      <w:r w:rsidRPr="00E326CD">
        <w:t xml:space="preserve"> Dostal dal v roce 1991 popud k zahájení přípravných jednání, která vedla zejména J</w:t>
      </w:r>
      <w:r w:rsidR="00B3391D">
        <w:t>ana</w:t>
      </w:r>
      <w:r w:rsidRPr="00E326CD">
        <w:t xml:space="preserve"> Klimentová. Do jednání se záhy za matematicko-fyzikální fakultu UK zapojili připravovatelé studia finanční a pojistné matematiky. Na ministerstvu byl vypracován návrh stanov. Návrh předložili J</w:t>
      </w:r>
      <w:r w:rsidR="00B3391D">
        <w:t>aroslav</w:t>
      </w:r>
      <w:r w:rsidRPr="00E326CD">
        <w:t xml:space="preserve"> Dostal, </w:t>
      </w:r>
      <w:r w:rsidRPr="00CC05A1">
        <w:t>P</w:t>
      </w:r>
      <w:r w:rsidR="00B3391D" w:rsidRPr="00CC05A1">
        <w:t>etr</w:t>
      </w:r>
      <w:r w:rsidRPr="00CC05A1">
        <w:t xml:space="preserve"> Mandl</w:t>
      </w:r>
      <w:r w:rsidRPr="00E326CD">
        <w:t xml:space="preserve"> a J</w:t>
      </w:r>
      <w:r w:rsidR="00F264CF">
        <w:t>aromír</w:t>
      </w:r>
      <w:r w:rsidRPr="00E326CD">
        <w:t xml:space="preserve"> Waltr jako garanti ministerstvu vnitra ke schválení. Stanovy, tehdy ještě České a slovenské společnosti aktuárů, byly registrovány v červenci 1992.</w:t>
      </w:r>
    </w:p>
    <w:p w14:paraId="50B86257" w14:textId="435A2D79" w:rsidR="00E326CD" w:rsidRPr="00E326CD" w:rsidRDefault="00E326CD" w:rsidP="00E326CD">
      <w:r w:rsidRPr="00E326CD">
        <w:t>Na ustavující schůzi České společnosti aktuárů dne 18. listopadu 1992 se sešlo 17 účastníků. Schválili některé změny stanov, zejména změnu názvu společnosti, a zvolili výbor společnosti s předsedou J</w:t>
      </w:r>
      <w:r w:rsidR="00D37F8A">
        <w:t>aroslavem</w:t>
      </w:r>
      <w:r w:rsidR="00E24698">
        <w:t> </w:t>
      </w:r>
      <w:proofErr w:type="spellStart"/>
      <w:r w:rsidRPr="00E326CD">
        <w:t>Dostalem</w:t>
      </w:r>
      <w:proofErr w:type="spellEnd"/>
      <w:r w:rsidRPr="00E326CD">
        <w:t xml:space="preserve"> a členy P</w:t>
      </w:r>
      <w:r w:rsidR="00D37F8A">
        <w:t>etrem</w:t>
      </w:r>
      <w:r w:rsidRPr="00E326CD">
        <w:t xml:space="preserve"> Mandlem, D</w:t>
      </w:r>
      <w:r w:rsidR="00D37F8A">
        <w:t>anielou</w:t>
      </w:r>
      <w:r w:rsidRPr="00E326CD">
        <w:t xml:space="preserve"> Skývovou, V</w:t>
      </w:r>
      <w:r w:rsidR="00D37F8A">
        <w:t>áclavem</w:t>
      </w:r>
      <w:r w:rsidRPr="00E326CD">
        <w:t xml:space="preserve"> </w:t>
      </w:r>
      <w:proofErr w:type="spellStart"/>
      <w:r w:rsidRPr="00E326CD">
        <w:t>Šafandou</w:t>
      </w:r>
      <w:proofErr w:type="spellEnd"/>
      <w:r w:rsidRPr="00E326CD">
        <w:t xml:space="preserve"> a J</w:t>
      </w:r>
      <w:r w:rsidR="00D37F8A">
        <w:t>aromírem</w:t>
      </w:r>
      <w:r w:rsidRPr="00E326CD">
        <w:t xml:space="preserve"> Waltrem. Předsedkyní revizní komise se stala J</w:t>
      </w:r>
      <w:r w:rsidR="00D37F8A">
        <w:t>ana</w:t>
      </w:r>
      <w:r w:rsidRPr="00E326CD">
        <w:t xml:space="preserve"> Klimentová, členy komise D</w:t>
      </w:r>
      <w:r w:rsidR="00D37F8A">
        <w:t>ana</w:t>
      </w:r>
      <w:r w:rsidRPr="00E326CD">
        <w:t xml:space="preserve"> Vorlíčková a V</w:t>
      </w:r>
      <w:r w:rsidR="00D37F8A">
        <w:t>ladimír</w:t>
      </w:r>
      <w:r w:rsidRPr="00E326CD">
        <w:t xml:space="preserve"> Plachý.</w:t>
      </w:r>
    </w:p>
    <w:p w14:paraId="4D69CA8D" w14:textId="7CF666D4" w:rsidR="00E24698" w:rsidRDefault="00743BC9" w:rsidP="00E24698">
      <w:pPr>
        <w:pStyle w:val="Nadpis3"/>
      </w:pPr>
      <w:r>
        <w:t xml:space="preserve">První kontakty s </w:t>
      </w:r>
      <w:r w:rsidR="002E3ABA">
        <w:t xml:space="preserve">IAA a </w:t>
      </w:r>
      <w:proofErr w:type="spellStart"/>
      <w:r w:rsidR="002E3ABA">
        <w:t>Groupe</w:t>
      </w:r>
      <w:proofErr w:type="spellEnd"/>
      <w:r w:rsidR="002E3ABA">
        <w:t xml:space="preserve"> </w:t>
      </w:r>
      <w:proofErr w:type="spellStart"/>
      <w:r w:rsidR="002E3ABA">
        <w:t>Consultatif</w:t>
      </w:r>
      <w:proofErr w:type="spellEnd"/>
      <w:r w:rsidR="00521D1E">
        <w:t xml:space="preserve"> (od 1993)</w:t>
      </w:r>
    </w:p>
    <w:p w14:paraId="69DD9584" w14:textId="32A91C16" w:rsidR="00E326CD" w:rsidRPr="00E326CD" w:rsidRDefault="00E326CD" w:rsidP="00E326CD">
      <w:r w:rsidRPr="00E326CD">
        <w:t xml:space="preserve">Záhy po svém ustavení navázala Česká společnost aktuárů kontakt s Willy P. </w:t>
      </w:r>
      <w:proofErr w:type="spellStart"/>
      <w:r w:rsidRPr="00E326CD">
        <w:t>Lenaertsem</w:t>
      </w:r>
      <w:proofErr w:type="spellEnd"/>
      <w:r w:rsidRPr="00E326CD">
        <w:t>, sekretářem Mezinárodní aktuárské asociace (IAA). Ten, aniž by čekal na zasedání Rady asociace naši společnost ihned zaregistroval a doporučil, abychom vešli ve styk s Mezinárodním propagačním a vzdělávacím fondem asociace (IPEF).</w:t>
      </w:r>
    </w:p>
    <w:p w14:paraId="31C69650" w14:textId="724D0575" w:rsidR="00E326CD" w:rsidRPr="00E326CD" w:rsidRDefault="00E326CD" w:rsidP="00E326CD">
      <w:r w:rsidRPr="00E326CD">
        <w:t xml:space="preserve">V září 1993 se konalo Páté pražské symposium o asymptotické statistice. Společnost byla spolupořadatelem sekce finanční a pojistné matematiky symposia. Na zasedání sekce přišel též André </w:t>
      </w:r>
      <w:proofErr w:type="spellStart"/>
      <w:r w:rsidRPr="00E326CD">
        <w:t>Lamens</w:t>
      </w:r>
      <w:proofErr w:type="spellEnd"/>
      <w:r w:rsidRPr="00E326CD">
        <w:t xml:space="preserve">, předseda IAA. Projevoval o budoucnost České společnosti </w:t>
      </w:r>
      <w:r w:rsidR="00CE6F28" w:rsidRPr="00E326CD">
        <w:t>aktuárů velmi</w:t>
      </w:r>
      <w:r w:rsidRPr="00E326CD">
        <w:t xml:space="preserve"> přátelský zájem a zanedlouho upozornil na naši činnost Maxe </w:t>
      </w:r>
      <w:proofErr w:type="spellStart"/>
      <w:r w:rsidRPr="00E326CD">
        <w:t>Lacroix</w:t>
      </w:r>
      <w:proofErr w:type="spellEnd"/>
      <w:r w:rsidRPr="00E326CD">
        <w:t>, předsedu správního výboru fondu IPEF. Návštěva p</w:t>
      </w:r>
      <w:r w:rsidR="00855B98">
        <w:t>ana</w:t>
      </w:r>
      <w:r w:rsidRPr="00E326CD">
        <w:t xml:space="preserve"> </w:t>
      </w:r>
      <w:proofErr w:type="spellStart"/>
      <w:r w:rsidRPr="00E326CD">
        <w:t>Lacroix</w:t>
      </w:r>
      <w:proofErr w:type="spellEnd"/>
      <w:r w:rsidRPr="00E326CD">
        <w:t xml:space="preserve"> v Praze nedala na sebe dlouho čekat. Začátkem prosince jsme měli možnost s ním jednat o přípravě semináře v roce 1994 v Praze.</w:t>
      </w:r>
    </w:p>
    <w:p w14:paraId="3BB79537" w14:textId="5AFC6402" w:rsidR="00E326CD" w:rsidRPr="00E326CD" w:rsidRDefault="00E326CD" w:rsidP="00E326CD">
      <w:r w:rsidRPr="00E326CD">
        <w:t xml:space="preserve">Mezinárodní aktuárská asociace vznikla po válce ze Stálého výboru pro pořádání Mezinárodních kongresů aktuárů. Československo zastupoval ve výboru řadu let prof. Jaroslav Janko. Belgičané </w:t>
      </w:r>
      <w:proofErr w:type="spellStart"/>
      <w:r w:rsidRPr="00E326CD">
        <w:t>Lamens</w:t>
      </w:r>
      <w:proofErr w:type="spellEnd"/>
      <w:r w:rsidRPr="00E326CD">
        <w:t xml:space="preserve"> a </w:t>
      </w:r>
      <w:proofErr w:type="spellStart"/>
      <w:r w:rsidRPr="00E326CD">
        <w:t>Leanaerts</w:t>
      </w:r>
      <w:proofErr w:type="spellEnd"/>
      <w:r w:rsidRPr="00E326CD">
        <w:t xml:space="preserve"> jsou představiteli údobí, kdy asociace užívala pouze v malém rozsahu placenou administrativní práci, soustřeďovala se na šíření odborných poznatků a dobrých vztahů mezi </w:t>
      </w:r>
      <w:proofErr w:type="spellStart"/>
      <w:r w:rsidRPr="00E326CD">
        <w:t>aktuáry</w:t>
      </w:r>
      <w:proofErr w:type="spellEnd"/>
      <w:r w:rsidRPr="00E326CD">
        <w:t xml:space="preserve">. Základem bylo individuální členství. V listopadu 1993 se v Londýně sešli představitelé </w:t>
      </w:r>
      <w:proofErr w:type="spellStart"/>
      <w:r w:rsidRPr="00E326CD">
        <w:t>aktuárských</w:t>
      </w:r>
      <w:proofErr w:type="spellEnd"/>
      <w:r w:rsidRPr="00E326CD">
        <w:t xml:space="preserve"> asociací s cílem vytvořit Mezinárodní federaci </w:t>
      </w:r>
      <w:proofErr w:type="spellStart"/>
      <w:r w:rsidRPr="00E326CD">
        <w:t>aktuárských</w:t>
      </w:r>
      <w:proofErr w:type="spellEnd"/>
      <w:r w:rsidRPr="00E326CD">
        <w:t xml:space="preserve"> asociací (IFAA ). Tím byl započat vývoj zakončený reformou IAA. Česká společnost aktuárů byla na schůzi zastoupena </w:t>
      </w:r>
      <w:r w:rsidR="00DB073F">
        <w:t>M</w:t>
      </w:r>
      <w:r w:rsidRPr="00E326CD">
        <w:t xml:space="preserve">gr. </w:t>
      </w:r>
      <w:r w:rsidR="00DB073F">
        <w:t xml:space="preserve">Janou </w:t>
      </w:r>
      <w:r w:rsidRPr="00E326CD">
        <w:t xml:space="preserve">Klimentovou.  </w:t>
      </w:r>
    </w:p>
    <w:p w14:paraId="29EBE765" w14:textId="33FB943B" w:rsidR="00E326CD" w:rsidRPr="00E326CD" w:rsidRDefault="00E326CD" w:rsidP="00E326CD">
      <w:r w:rsidRPr="00E326CD">
        <w:t xml:space="preserve">Max </w:t>
      </w:r>
      <w:proofErr w:type="spellStart"/>
      <w:r w:rsidRPr="00E326CD">
        <w:t>Lacroix</w:t>
      </w:r>
      <w:proofErr w:type="spellEnd"/>
      <w:r w:rsidRPr="00E326CD">
        <w:t xml:space="preserve"> je nezapomenutelnou postavou mezinárodní spolupráce aktuárů. O jeho stáří jsou pouze dohady. Absolvoval již v roce 1933 Institut de Science </w:t>
      </w:r>
      <w:proofErr w:type="spellStart"/>
      <w:r w:rsidRPr="00E326CD">
        <w:t>Financière</w:t>
      </w:r>
      <w:proofErr w:type="spellEnd"/>
      <w:r w:rsidRPr="00E326CD">
        <w:t xml:space="preserve"> et </w:t>
      </w:r>
      <w:proofErr w:type="spellStart"/>
      <w:r w:rsidRPr="00E326CD">
        <w:t>d´Assurances</w:t>
      </w:r>
      <w:proofErr w:type="spellEnd"/>
      <w:r w:rsidRPr="00E326CD">
        <w:t xml:space="preserve"> v Lyonu. Velmi se zasloužil o vznik v roce 1978 Poradní skupiny </w:t>
      </w:r>
      <w:proofErr w:type="spellStart"/>
      <w:r w:rsidRPr="00E326CD">
        <w:t>aktuárských</w:t>
      </w:r>
      <w:proofErr w:type="spellEnd"/>
      <w:r w:rsidRPr="00E326CD">
        <w:t xml:space="preserve"> asociací zemí Evropských společenství, stručně nazývané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, a je jejím čestným předsedou.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je fórem výměny názorů mezi asociacemi a institucí podpory dobré úrovně aktuárské profese. Vyjadřuje se k legislativě Evropské unie týkající se pojišťovnictví a sociálního pojištění. Při své návštěvě nám p. </w:t>
      </w:r>
      <w:proofErr w:type="spellStart"/>
      <w:r w:rsidRPr="00E326CD">
        <w:t>Lacroix</w:t>
      </w:r>
      <w:proofErr w:type="spellEnd"/>
      <w:r w:rsidRPr="00E326CD">
        <w:t xml:space="preserve"> předal texty základních dokumentů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="004D51E6">
        <w:rPr>
          <w:rStyle w:val="Znakapoznpodarou"/>
        </w:rPr>
        <w:footnoteReference w:id="1"/>
      </w:r>
      <w:r w:rsidRPr="00E326CD">
        <w:t>.  Dokument Zásady aktuárské praxe byl převzat společností v únoru 1994.</w:t>
      </w:r>
    </w:p>
    <w:p w14:paraId="5A18D459" w14:textId="77777777" w:rsidR="00E326CD" w:rsidRPr="00E326CD" w:rsidRDefault="00E326CD" w:rsidP="00E326CD"/>
    <w:p w14:paraId="6AA47F1E" w14:textId="13B878EE" w:rsidR="005C1065" w:rsidRDefault="00FF3CF9" w:rsidP="009C4800">
      <w:pPr>
        <w:pStyle w:val="Nadpis3"/>
      </w:pPr>
      <w:r>
        <w:lastRenderedPageBreak/>
        <w:t>Ranná v</w:t>
      </w:r>
      <w:r w:rsidR="005C1065">
        <w:t xml:space="preserve">ědecká a pedagogická činnost </w:t>
      </w:r>
      <w:r w:rsidR="00A905BE">
        <w:t>(od 1993)</w:t>
      </w:r>
    </w:p>
    <w:p w14:paraId="05973F30" w14:textId="18E0297E" w:rsidR="00E326CD" w:rsidRPr="00E326CD" w:rsidRDefault="00E326CD" w:rsidP="00E326CD">
      <w:r w:rsidRPr="00E326CD">
        <w:t xml:space="preserve">Česká společnost aktuárů se hned po svém ustavení stala spolupořadatelkou Seminářů z </w:t>
      </w:r>
      <w:proofErr w:type="spellStart"/>
      <w:r w:rsidRPr="00E326CD">
        <w:t>aktuárských</w:t>
      </w:r>
      <w:proofErr w:type="spellEnd"/>
      <w:r w:rsidRPr="00E326CD">
        <w:t xml:space="preserve"> věd na matematicko-fyzikální fakultě UK. Koncem roku 1993 měla 36 členů.</w:t>
      </w:r>
    </w:p>
    <w:p w14:paraId="7653CD58" w14:textId="57093E4A" w:rsidR="00E326CD" w:rsidRDefault="00E326CD" w:rsidP="00E326CD">
      <w:r w:rsidRPr="00E326CD">
        <w:t xml:space="preserve">V březnu 1994 jsem měl spolu s dr. </w:t>
      </w:r>
      <w:r w:rsidR="00847ADD">
        <w:t xml:space="preserve">Danou </w:t>
      </w:r>
      <w:r w:rsidRPr="00E326CD">
        <w:t>Vorlíčkovou možnost setkat se v Bruselu s p</w:t>
      </w:r>
      <w:r w:rsidR="00083B76">
        <w:t>anem</w:t>
      </w:r>
      <w:r w:rsidRPr="00E326CD">
        <w:t xml:space="preserve"> </w:t>
      </w:r>
      <w:proofErr w:type="spellStart"/>
      <w:r w:rsidRPr="00E326CD">
        <w:t>Lenaertsem</w:t>
      </w:r>
      <w:proofErr w:type="spellEnd"/>
      <w:r w:rsidRPr="00E326CD">
        <w:t xml:space="preserve">. Jednali jsme s ním zejména o členství českých aktuárů v IAA, které bylo podmínkou pro účast na kongresech. Prvních devět individuálních členů přijala pak rada asociace v září. Pan </w:t>
      </w:r>
      <w:proofErr w:type="spellStart"/>
      <w:r w:rsidRPr="00E326CD">
        <w:t>Lenaerts</w:t>
      </w:r>
      <w:proofErr w:type="spellEnd"/>
      <w:r w:rsidRPr="00E326CD">
        <w:t xml:space="preserve"> nás též upozornil na soutěž vědeckých prací mladých aktuárů u příležitosti XXV. Kongresu. Do soutěže jsme přihlásili práci L</w:t>
      </w:r>
      <w:r w:rsidR="006E4FBA">
        <w:t>ucie</w:t>
      </w:r>
      <w:r w:rsidRPr="00E326CD">
        <w:t xml:space="preserve"> Mazurové On </w:t>
      </w:r>
      <w:proofErr w:type="spellStart"/>
      <w:r w:rsidRPr="00E326CD">
        <w:t>the</w:t>
      </w:r>
      <w:proofErr w:type="spellEnd"/>
      <w:r w:rsidRPr="00E326CD">
        <w:t xml:space="preserve"> </w:t>
      </w:r>
      <w:proofErr w:type="spellStart"/>
      <w:r w:rsidRPr="00E326CD">
        <w:t>effect</w:t>
      </w:r>
      <w:proofErr w:type="spellEnd"/>
      <w:r w:rsidRPr="00E326CD">
        <w:t xml:space="preserve"> </w:t>
      </w:r>
      <w:proofErr w:type="spellStart"/>
      <w:r w:rsidRPr="00E326CD">
        <w:t>of</w:t>
      </w:r>
      <w:proofErr w:type="spellEnd"/>
      <w:r w:rsidRPr="00E326CD">
        <w:t xml:space="preserve"> </w:t>
      </w:r>
      <w:proofErr w:type="spellStart"/>
      <w:r w:rsidRPr="00E326CD">
        <w:t>fluctuations</w:t>
      </w:r>
      <w:proofErr w:type="spellEnd"/>
      <w:r w:rsidRPr="00E326CD">
        <w:t xml:space="preserve"> in </w:t>
      </w:r>
      <w:proofErr w:type="spellStart"/>
      <w:r w:rsidRPr="00E326CD">
        <w:t>the</w:t>
      </w:r>
      <w:proofErr w:type="spellEnd"/>
      <w:r w:rsidRPr="00E326CD">
        <w:t xml:space="preserve"> </w:t>
      </w:r>
      <w:proofErr w:type="spellStart"/>
      <w:r w:rsidRPr="00E326CD">
        <w:t>number</w:t>
      </w:r>
      <w:proofErr w:type="spellEnd"/>
      <w:r w:rsidRPr="00E326CD">
        <w:t xml:space="preserve"> </w:t>
      </w:r>
      <w:proofErr w:type="spellStart"/>
      <w:r w:rsidRPr="00E326CD">
        <w:t>of</w:t>
      </w:r>
      <w:proofErr w:type="spellEnd"/>
      <w:r w:rsidRPr="00E326CD">
        <w:t xml:space="preserve"> </w:t>
      </w:r>
      <w:proofErr w:type="spellStart"/>
      <w:r w:rsidRPr="00E326CD">
        <w:t>entrants</w:t>
      </w:r>
      <w:proofErr w:type="spellEnd"/>
      <w:r w:rsidRPr="00E326CD">
        <w:t xml:space="preserve"> on a pension </w:t>
      </w:r>
      <w:proofErr w:type="spellStart"/>
      <w:r w:rsidRPr="00E326CD">
        <w:t>scheme</w:t>
      </w:r>
      <w:proofErr w:type="spellEnd"/>
      <w:r w:rsidRPr="00E326CD">
        <w:t>.  Práce získala příští rok na kongresu 2. cenu.</w:t>
      </w:r>
    </w:p>
    <w:p w14:paraId="109F45F1" w14:textId="73C7C0C1" w:rsidR="00E326CD" w:rsidRPr="00E326CD" w:rsidRDefault="00E326CD" w:rsidP="00E326CD">
      <w:r w:rsidRPr="00E326CD">
        <w:t xml:space="preserve">Další schůze připravovatelů IFAA se konala v dubnu v Orlandu u příležitosti konference amerických </w:t>
      </w:r>
      <w:proofErr w:type="spellStart"/>
      <w:r w:rsidRPr="00E326CD">
        <w:t>aktuárských</w:t>
      </w:r>
      <w:proofErr w:type="spellEnd"/>
      <w:r w:rsidRPr="00E326CD">
        <w:t xml:space="preserve"> společností. Díky p</w:t>
      </w:r>
      <w:r w:rsidR="00C30726">
        <w:t>an</w:t>
      </w:r>
      <w:r w:rsidR="00F4115B">
        <w:t>u</w:t>
      </w:r>
      <w:r w:rsidRPr="00E326CD">
        <w:t xml:space="preserve"> </w:t>
      </w:r>
      <w:proofErr w:type="spellStart"/>
      <w:r w:rsidRPr="00E326CD">
        <w:t>Lacroix</w:t>
      </w:r>
      <w:proofErr w:type="spellEnd"/>
      <w:r w:rsidRPr="00E326CD">
        <w:t xml:space="preserve"> jsem měl možnost se za Českou společnost aktuárů schůze zúčastnit. Na ní se již začal rýsovat kompromis spočívající v myšlence začlenit IFAA do IAA jako její sekci. V Orlandu bylo s členy správního výboru IPEF dohodnuto uspořádat v Praze za podpory fondu mezinárodní seminář.</w:t>
      </w:r>
    </w:p>
    <w:p w14:paraId="5807A123" w14:textId="7FDF4A0D" w:rsidR="00E326CD" w:rsidRPr="00E326CD" w:rsidRDefault="00E326CD" w:rsidP="00E326CD">
      <w:r w:rsidRPr="00E326CD">
        <w:t xml:space="preserve">Kolokvium s názvem Mezinárodní profesní setkání o organizaci aktuárské profese a </w:t>
      </w:r>
      <w:proofErr w:type="spellStart"/>
      <w:r w:rsidRPr="00E326CD">
        <w:t>aktuárském</w:t>
      </w:r>
      <w:proofErr w:type="spellEnd"/>
      <w:r w:rsidRPr="00E326CD">
        <w:t xml:space="preserve"> vzdělávání ve střední a východní Evropě se konalo 29. – 30. srpna 1994 v budově Ministerstva práce a sociálních věcí.  Zahraničními lektory byli Britové Chris D. </w:t>
      </w:r>
      <w:proofErr w:type="spellStart"/>
      <w:r w:rsidRPr="00E326CD">
        <w:t>Daykin</w:t>
      </w:r>
      <w:proofErr w:type="spellEnd"/>
      <w:r w:rsidRPr="00E326CD">
        <w:t xml:space="preserve">, John Martin, Simon Martin a Švéd </w:t>
      </w:r>
      <w:proofErr w:type="spellStart"/>
      <w:r w:rsidRPr="00E326CD">
        <w:t>Björ</w:t>
      </w:r>
      <w:proofErr w:type="spellEnd"/>
      <w:r w:rsidRPr="00E326CD">
        <w:t xml:space="preserve"> </w:t>
      </w:r>
      <w:proofErr w:type="spellStart"/>
      <w:r w:rsidRPr="00E326CD">
        <w:t>Palmgrén</w:t>
      </w:r>
      <w:proofErr w:type="spellEnd"/>
      <w:r w:rsidRPr="00E326CD">
        <w:t>.</w:t>
      </w:r>
    </w:p>
    <w:p w14:paraId="3428E1D0" w14:textId="55567E99" w:rsidR="00891FDB" w:rsidRPr="00E326CD" w:rsidRDefault="00832845" w:rsidP="00891FDB">
      <w:pPr>
        <w:pStyle w:val="Nadpis3"/>
      </w:pPr>
      <w:r>
        <w:t>Čestný člen Karel Procházka</w:t>
      </w:r>
      <w:r w:rsidR="003F0247">
        <w:t xml:space="preserve"> (</w:t>
      </w:r>
      <w:r w:rsidR="00997D3F">
        <w:t xml:space="preserve">1934, </w:t>
      </w:r>
      <w:r w:rsidR="003F0247">
        <w:t>1994)</w:t>
      </w:r>
    </w:p>
    <w:p w14:paraId="016C7FC0" w14:textId="2312833A" w:rsidR="00E326CD" w:rsidRPr="00E326CD" w:rsidRDefault="00E326CD" w:rsidP="00E326CD">
      <w:r w:rsidRPr="00E326CD">
        <w:t>Valná hromada v listopadu 1994 zvolila čestným členem společnosti ing. Karla Procházku, který však již 8. ledna 1995 zemřel. Ing. Procházka složil státní zkoušku z pojistné techniky v roce 1934. Po mnohaleté praxi v pojišťovnictví působil jako vedoucí pojistně technického odboru České státní pojišťovny. Byl nejvýznamnější z osobností dokládajících kontinuitu naší aktuárské profese od doby předválečné.</w:t>
      </w:r>
    </w:p>
    <w:p w14:paraId="057EF378" w14:textId="4A2C7E13" w:rsidR="00576974" w:rsidRDefault="00576974" w:rsidP="00576974">
      <w:pPr>
        <w:pStyle w:val="Nadpis3"/>
      </w:pPr>
      <w:r>
        <w:t xml:space="preserve">Osvědčení o způsobilosti vykonávat </w:t>
      </w:r>
      <w:proofErr w:type="spellStart"/>
      <w:r>
        <w:t>aktuárskou</w:t>
      </w:r>
      <w:proofErr w:type="spellEnd"/>
      <w:r>
        <w:t xml:space="preserve"> činnost</w:t>
      </w:r>
      <w:r w:rsidR="00007A1A">
        <w:t xml:space="preserve"> (1995 – 1997)</w:t>
      </w:r>
    </w:p>
    <w:p w14:paraId="19DE50F2" w14:textId="66D7F280" w:rsidR="00E326CD" w:rsidRPr="00E326CD" w:rsidRDefault="00E326CD" w:rsidP="00E326CD">
      <w:r w:rsidRPr="00E326CD">
        <w:t xml:space="preserve">Od počátku roku 1995 se výbor společnosti začal zabývat návrhem pravidel pro udělování osvědčení o způsobilosti vykonávat </w:t>
      </w:r>
      <w:proofErr w:type="spellStart"/>
      <w:r w:rsidRPr="00E326CD">
        <w:t>aktuárskou</w:t>
      </w:r>
      <w:proofErr w:type="spellEnd"/>
      <w:r w:rsidRPr="00E326CD">
        <w:t xml:space="preserve"> činnost. Již tehdy byla formulována zásada „docílit v okamžiku vstupu do Evropské unie stejné podmínky pro naše </w:t>
      </w:r>
      <w:proofErr w:type="spellStart"/>
      <w:r w:rsidRPr="00E326CD">
        <w:t>aktuáry</w:t>
      </w:r>
      <w:proofErr w:type="spellEnd"/>
      <w:r w:rsidRPr="00E326CD">
        <w:t xml:space="preserve"> jako budou mít aktuáři z EU u nás“. Ministerstvo práce a sociálních věcí společnosti nabídlo využít část jemu přidělených prostředků programu PHARE k uspořádání třídenního semináře. Jeho cílem bylo umožnit, abychom se seznámili s profesní organizací aktuárů několika zemí Evropské unie a na základě posouzení vhodnosti jednotlivých způsobů profilovali činnost České společnosti aktuárů. Seminář s názvem Aktuárská profese v životním a penzijním pojištění byl pořádán 13. – 15. června 1995. Účastníci měli možnost poučit se o profesních sdružení ve Velké Británii (M. A. </w:t>
      </w:r>
      <w:proofErr w:type="spellStart"/>
      <w:r w:rsidRPr="00E326CD">
        <w:t>Pickford</w:t>
      </w:r>
      <w:proofErr w:type="spellEnd"/>
      <w:r w:rsidRPr="00E326CD">
        <w:t xml:space="preserve">), Francii (P. </w:t>
      </w:r>
      <w:proofErr w:type="spellStart"/>
      <w:r w:rsidRPr="00E326CD">
        <w:t>Pétauton</w:t>
      </w:r>
      <w:proofErr w:type="spellEnd"/>
      <w:r w:rsidRPr="00E326CD">
        <w:t xml:space="preserve">), Rakousku (H. </w:t>
      </w:r>
      <w:proofErr w:type="spellStart"/>
      <w:r w:rsidRPr="00E326CD">
        <w:t>Holzer</w:t>
      </w:r>
      <w:proofErr w:type="spellEnd"/>
      <w:r w:rsidRPr="00E326CD">
        <w:t xml:space="preserve">), Německu (M. </w:t>
      </w:r>
      <w:proofErr w:type="spellStart"/>
      <w:r w:rsidRPr="00E326CD">
        <w:t>Helbig</w:t>
      </w:r>
      <w:proofErr w:type="spellEnd"/>
      <w:r w:rsidRPr="00E326CD">
        <w:t xml:space="preserve">), o mezinárodní organizaci aktuárů (M. </w:t>
      </w:r>
      <w:proofErr w:type="spellStart"/>
      <w:r w:rsidRPr="00E326CD">
        <w:t>Lacroix</w:t>
      </w:r>
      <w:proofErr w:type="spellEnd"/>
      <w:r w:rsidRPr="00E326CD">
        <w:t xml:space="preserve">) a o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(D. van </w:t>
      </w:r>
      <w:proofErr w:type="spellStart"/>
      <w:r w:rsidRPr="00E326CD">
        <w:t>Berlaer</w:t>
      </w:r>
      <w:proofErr w:type="spellEnd"/>
      <w:r w:rsidRPr="00E326CD">
        <w:t>).</w:t>
      </w:r>
    </w:p>
    <w:p w14:paraId="61D3117F" w14:textId="52438298" w:rsidR="00E326CD" w:rsidRPr="00E326CD" w:rsidRDefault="00E326CD" w:rsidP="00E326CD">
      <w:r w:rsidRPr="00E326CD">
        <w:t>Na XXV. Mezinárodním kongresu aktuárů pořádaném 10. – 15. září v roce stého výročí konání kongresů, byli českými účastníky J</w:t>
      </w:r>
      <w:r w:rsidR="00871566">
        <w:t>aroslav</w:t>
      </w:r>
      <w:r w:rsidRPr="00E326CD">
        <w:t xml:space="preserve"> Dostal, P</w:t>
      </w:r>
      <w:r w:rsidR="00871566">
        <w:t>etr</w:t>
      </w:r>
      <w:r w:rsidRPr="00E326CD">
        <w:t xml:space="preserve"> Mandl, L</w:t>
      </w:r>
      <w:r w:rsidR="00871566">
        <w:t>ucie</w:t>
      </w:r>
      <w:r w:rsidRPr="00E326CD">
        <w:t xml:space="preserve"> Mazurová a D</w:t>
      </w:r>
      <w:r w:rsidR="00871566">
        <w:t>ana</w:t>
      </w:r>
      <w:r w:rsidRPr="00E326CD">
        <w:t xml:space="preserve"> Vorlíčková. Česká společnost aktuárů se stala zakládajícím členem IFAA, která byla založena jako sekce IAA.</w:t>
      </w:r>
    </w:p>
    <w:p w14:paraId="06CDB7C8" w14:textId="71CCD905" w:rsidR="00E326CD" w:rsidRPr="00E326CD" w:rsidRDefault="00E326CD" w:rsidP="00E326CD">
      <w:r w:rsidRPr="00E326CD">
        <w:t>Valná hromada v prosinci 1995 zvolila nový výbor společnosti, jehož předsedou se stal P</w:t>
      </w:r>
      <w:r w:rsidR="00871566">
        <w:t>etr</w:t>
      </w:r>
      <w:r w:rsidRPr="00E326CD">
        <w:t xml:space="preserve"> Mandl, místopředsedy J</w:t>
      </w:r>
      <w:r w:rsidR="00871566">
        <w:t>aroslav</w:t>
      </w:r>
      <w:r w:rsidRPr="00E326CD">
        <w:t xml:space="preserve"> Dostal a V</w:t>
      </w:r>
      <w:r w:rsidR="00871566">
        <w:t>áclav</w:t>
      </w:r>
      <w:r w:rsidRPr="00E326CD">
        <w:t xml:space="preserve"> </w:t>
      </w:r>
      <w:proofErr w:type="spellStart"/>
      <w:r w:rsidRPr="00E326CD">
        <w:t>Šafanda</w:t>
      </w:r>
      <w:proofErr w:type="spellEnd"/>
      <w:r w:rsidRPr="00E326CD">
        <w:t xml:space="preserve"> a dalšími funkcionáři T</w:t>
      </w:r>
      <w:r w:rsidR="00871566">
        <w:t>omáš</w:t>
      </w:r>
      <w:r w:rsidRPr="00E326CD">
        <w:t xml:space="preserve"> Cipra, J</w:t>
      </w:r>
      <w:r w:rsidR="00871566">
        <w:t>aroslava</w:t>
      </w:r>
      <w:r w:rsidRPr="00E326CD">
        <w:t xml:space="preserve"> </w:t>
      </w:r>
      <w:proofErr w:type="spellStart"/>
      <w:r w:rsidRPr="00E326CD">
        <w:t>Feistauerová</w:t>
      </w:r>
      <w:proofErr w:type="spellEnd"/>
      <w:r w:rsidRPr="00E326CD">
        <w:t xml:space="preserve"> a D</w:t>
      </w:r>
      <w:r w:rsidR="00871566">
        <w:t xml:space="preserve">ana </w:t>
      </w:r>
      <w:r w:rsidRPr="00E326CD">
        <w:t>Vorlíčková. K nim přibyl po půl roce J</w:t>
      </w:r>
      <w:r w:rsidR="00871566">
        <w:t>iří</w:t>
      </w:r>
      <w:r w:rsidRPr="00E326CD">
        <w:t xml:space="preserve"> Fialka.</w:t>
      </w:r>
    </w:p>
    <w:p w14:paraId="5712E2E2" w14:textId="65C40CD6" w:rsidR="00E326CD" w:rsidRPr="00E326CD" w:rsidRDefault="00E326CD" w:rsidP="00E326CD">
      <w:r w:rsidRPr="00E326CD">
        <w:t xml:space="preserve">Rok 1996 byl věnován stanovení pravidel udělování </w:t>
      </w:r>
      <w:proofErr w:type="spellStart"/>
      <w:r w:rsidRPr="00E326CD">
        <w:t>aktuárského</w:t>
      </w:r>
      <w:proofErr w:type="spellEnd"/>
      <w:r w:rsidRPr="00E326CD">
        <w:t xml:space="preserve"> osvědčení. Na základě přehledu získaného v předchozím roce se společnost obrátila na francouzský Institut aktuárů se žádostí o podrobnější informace. Ty nám ochotně poskytl p. </w:t>
      </w:r>
      <w:proofErr w:type="spellStart"/>
      <w:r w:rsidRPr="00E326CD">
        <w:t>Allain</w:t>
      </w:r>
      <w:proofErr w:type="spellEnd"/>
      <w:r w:rsidRPr="00E326CD">
        <w:t xml:space="preserve"> </w:t>
      </w:r>
      <w:proofErr w:type="spellStart"/>
      <w:r w:rsidRPr="00E326CD">
        <w:t>Tosseti</w:t>
      </w:r>
      <w:proofErr w:type="spellEnd"/>
      <w:r w:rsidRPr="00E326CD">
        <w:t xml:space="preserve"> pracovník pojistného dozoru. Z francouzských pravidel jsme převzali možnost uložit kandidátům vypracování referátu. Jinak jsme postupovali celkem samostatně. Projednávání návrhu pravidel byly věnovány dvě členské schůze.</w:t>
      </w:r>
    </w:p>
    <w:p w14:paraId="0A96D9D0" w14:textId="41B46590" w:rsidR="00E326CD" w:rsidRPr="00E326CD" w:rsidRDefault="00E326CD" w:rsidP="00E326CD">
      <w:r w:rsidRPr="00E326CD">
        <w:t xml:space="preserve">Na jaře toho roku přijala společnost Profesní zásady převzaté od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>.</w:t>
      </w:r>
    </w:p>
    <w:p w14:paraId="582EAEA4" w14:textId="77777777" w:rsidR="00E326CD" w:rsidRPr="00E326CD" w:rsidRDefault="00E326CD" w:rsidP="00E326CD"/>
    <w:p w14:paraId="11EEBE9F" w14:textId="433F6D91" w:rsidR="00E326CD" w:rsidRPr="00E326CD" w:rsidRDefault="00E326CD" w:rsidP="00E326CD">
      <w:r w:rsidRPr="00E326CD">
        <w:lastRenderedPageBreak/>
        <w:t xml:space="preserve">Prostředky britského </w:t>
      </w:r>
      <w:proofErr w:type="spellStart"/>
      <w:r w:rsidRPr="00E326CD">
        <w:t>Know</w:t>
      </w:r>
      <w:proofErr w:type="spellEnd"/>
      <w:r w:rsidRPr="00E326CD">
        <w:t xml:space="preserve"> </w:t>
      </w:r>
      <w:proofErr w:type="spellStart"/>
      <w:r w:rsidRPr="00E326CD">
        <w:t>How</w:t>
      </w:r>
      <w:proofErr w:type="spellEnd"/>
      <w:r w:rsidRPr="00E326CD">
        <w:t xml:space="preserve"> fondu získané prostřednictví oddělení státního dozoru nad pojišťovnictvím umožnily společnosti pořádat 1. – 4. dubna 1996 přednáškový cyklus profesorů </w:t>
      </w:r>
      <w:proofErr w:type="spellStart"/>
      <w:r w:rsidRPr="00E326CD">
        <w:t>Heriot</w:t>
      </w:r>
      <w:proofErr w:type="spellEnd"/>
      <w:r w:rsidRPr="00E326CD">
        <w:t xml:space="preserve"> – Watt University, na němž vystoupili D. C. </w:t>
      </w:r>
      <w:proofErr w:type="spellStart"/>
      <w:r w:rsidRPr="00E326CD">
        <w:t>Bowie</w:t>
      </w:r>
      <w:proofErr w:type="spellEnd"/>
      <w:r w:rsidRPr="00E326CD">
        <w:t xml:space="preserve">, H. R. </w:t>
      </w:r>
      <w:proofErr w:type="spellStart"/>
      <w:r w:rsidRPr="00E326CD">
        <w:t>Waters</w:t>
      </w:r>
      <w:proofErr w:type="spellEnd"/>
      <w:r w:rsidRPr="00E326CD">
        <w:t xml:space="preserve">, A. S. Macdonald a </w:t>
      </w:r>
      <w:proofErr w:type="spellStart"/>
      <w:r w:rsidRPr="00E326CD">
        <w:t>A</w:t>
      </w:r>
      <w:proofErr w:type="spellEnd"/>
      <w:r w:rsidRPr="00E326CD">
        <w:t xml:space="preserve">. J. G. </w:t>
      </w:r>
      <w:proofErr w:type="spellStart"/>
      <w:r w:rsidRPr="00E326CD">
        <w:t>Cairns</w:t>
      </w:r>
      <w:proofErr w:type="spellEnd"/>
      <w:r w:rsidRPr="00E326CD">
        <w:t>.</w:t>
      </w:r>
    </w:p>
    <w:p w14:paraId="01E8BE4C" w14:textId="1E1D0BE8" w:rsidR="00E326CD" w:rsidRPr="00E326CD" w:rsidRDefault="00E326CD" w:rsidP="00E326CD">
      <w:r w:rsidRPr="00E326CD">
        <w:t>V roce 1997 zahájila činnost Komise pro udělování osvědčení pod předsednictvím</w:t>
      </w:r>
      <w:r w:rsidR="004E6389">
        <w:t xml:space="preserve"> </w:t>
      </w:r>
      <w:r w:rsidRPr="00E326CD">
        <w:t>V</w:t>
      </w:r>
      <w:r w:rsidR="004E6389">
        <w:t>áclava</w:t>
      </w:r>
      <w:r w:rsidRPr="00E326CD">
        <w:t xml:space="preserve"> </w:t>
      </w:r>
      <w:proofErr w:type="spellStart"/>
      <w:r w:rsidRPr="00E326CD">
        <w:t>Šafandy</w:t>
      </w:r>
      <w:proofErr w:type="spellEnd"/>
      <w:r w:rsidRPr="00E326CD">
        <w:t>. Významnou událostí bylo pořádání 2. – 4. června v Praze 12. Mezinárodního kongresu aktuárů a statistiků v sociálním zabezpečení. Konferenci organizovalo Ministerstvo práce a sociálních věcí. Česká společnost aktuárů byla na konferenci významně zastoupena.</w:t>
      </w:r>
    </w:p>
    <w:p w14:paraId="1E0991FA" w14:textId="094A37F7" w:rsidR="00E326CD" w:rsidRPr="00E326CD" w:rsidRDefault="00E326CD" w:rsidP="00E326CD">
      <w:r w:rsidRPr="00E326CD">
        <w:t xml:space="preserve">S představami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o </w:t>
      </w:r>
      <w:proofErr w:type="spellStart"/>
      <w:r w:rsidRPr="00E326CD">
        <w:t>aktuárském</w:t>
      </w:r>
      <w:proofErr w:type="spellEnd"/>
      <w:r w:rsidRPr="00E326CD">
        <w:t xml:space="preserve"> vzdělávání měla společnost možnost se seznámit na Semináři o vzdělávání, který se konal v červenci v </w:t>
      </w:r>
      <w:proofErr w:type="spellStart"/>
      <w:r w:rsidRPr="00E326CD">
        <w:t>Zandvoortu</w:t>
      </w:r>
      <w:proofErr w:type="spellEnd"/>
      <w:r w:rsidRPr="00E326CD">
        <w:t xml:space="preserve">. Seminář byl věnován diskusi Sylabu </w:t>
      </w:r>
      <w:proofErr w:type="spellStart"/>
      <w:r w:rsidRPr="00E326CD">
        <w:t>aktuárských</w:t>
      </w:r>
      <w:proofErr w:type="spellEnd"/>
      <w:r w:rsidRPr="00E326CD">
        <w:t xml:space="preserve"> znalostí (Core </w:t>
      </w:r>
      <w:proofErr w:type="spellStart"/>
      <w:r w:rsidRPr="00E326CD">
        <w:t>Syllabus</w:t>
      </w:r>
      <w:proofErr w:type="spellEnd"/>
      <w:r w:rsidRPr="00E326CD">
        <w:t xml:space="preserve">), jehož první verzi schválila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v roce 1996.</w:t>
      </w:r>
    </w:p>
    <w:p w14:paraId="456A95C5" w14:textId="708180DC" w:rsidR="00E326CD" w:rsidRPr="00E326CD" w:rsidRDefault="00E326CD" w:rsidP="00E326CD">
      <w:r w:rsidRPr="00E326CD">
        <w:t>Již jsme uvedli, že Česká společnost aktuárů byla zakládajícím členem IFAA. Po přijetí Profesních zásad a ustavení komise pro udělování osvědčení měla společnost možnost ucházet se o plné členství v IFAA a získat tak mezinárodní profesní akreditaci. V listopadu 1997 proto podala příslušnou přihlášku.</w:t>
      </w:r>
    </w:p>
    <w:p w14:paraId="0F629254" w14:textId="421F2D85" w:rsidR="004E6389" w:rsidRDefault="003B6FA7" w:rsidP="004E6389">
      <w:pPr>
        <w:pStyle w:val="Nadpis3"/>
      </w:pPr>
      <w:r>
        <w:t>Č</w:t>
      </w:r>
      <w:r w:rsidR="004E6389">
        <w:t>lenství v</w:t>
      </w:r>
      <w:r w:rsidR="00A32AF2">
        <w:t> </w:t>
      </w:r>
      <w:r w:rsidR="004E6389">
        <w:t>IAA</w:t>
      </w:r>
      <w:r w:rsidR="00A32AF2">
        <w:t xml:space="preserve"> a </w:t>
      </w:r>
      <w:proofErr w:type="spellStart"/>
      <w:r w:rsidR="00A32AF2">
        <w:t>Groupe</w:t>
      </w:r>
      <w:proofErr w:type="spellEnd"/>
      <w:r w:rsidR="00A32AF2">
        <w:t xml:space="preserve"> </w:t>
      </w:r>
      <w:proofErr w:type="spellStart"/>
      <w:r w:rsidR="00A32AF2">
        <w:t>Consultatif</w:t>
      </w:r>
      <w:proofErr w:type="spellEnd"/>
      <w:r w:rsidR="00191239">
        <w:t xml:space="preserve"> (1998, 1999)</w:t>
      </w:r>
    </w:p>
    <w:p w14:paraId="1F1CE986" w14:textId="2FCF4376" w:rsidR="00E326CD" w:rsidRPr="00E326CD" w:rsidRDefault="00E326CD" w:rsidP="00E326CD">
      <w:r w:rsidRPr="00E326CD">
        <w:t>26. Mezinárodní kongres aktuárů se konal 7. – 12. června 1998 v Birminghamu v roce stopadesátého výročí založení Institutu aktuárů. Kongresu se zúčastnili čtyři členové společnosti J</w:t>
      </w:r>
      <w:r w:rsidR="00E24AE9">
        <w:t>iří</w:t>
      </w:r>
      <w:r w:rsidRPr="00E326CD">
        <w:t xml:space="preserve"> Fialka, P</w:t>
      </w:r>
      <w:r w:rsidR="00E24AE9">
        <w:t>etr</w:t>
      </w:r>
      <w:r w:rsidRPr="00E326CD">
        <w:t xml:space="preserve"> Mandl, L</w:t>
      </w:r>
      <w:r w:rsidR="00E24AE9">
        <w:t>ucie</w:t>
      </w:r>
      <w:r w:rsidRPr="00E326CD">
        <w:t xml:space="preserve"> Mazurová a K</w:t>
      </w:r>
      <w:r w:rsidR="00E24AE9">
        <w:t>amila</w:t>
      </w:r>
      <w:r w:rsidRPr="00E326CD">
        <w:t xml:space="preserve"> Šimonová. Dne 8. června schválilo valné shromáždění IAA reformu asociace, která se stala v první řadě sdružením </w:t>
      </w:r>
      <w:proofErr w:type="spellStart"/>
      <w:r w:rsidRPr="00E326CD">
        <w:t>aktuárských</w:t>
      </w:r>
      <w:proofErr w:type="spellEnd"/>
      <w:r w:rsidRPr="00E326CD">
        <w:t xml:space="preserve"> asociací. Její sekce IFAA zanikla. Akreditační podvýbor předtím schválil přihlášku České společnosti aktuárů. Společnost byla přijata za plného člena radou IAA 3. listopadu 1998.</w:t>
      </w:r>
    </w:p>
    <w:p w14:paraId="7473FA62" w14:textId="6B3D592B" w:rsidR="00E326CD" w:rsidRPr="00E326CD" w:rsidRDefault="00E326CD" w:rsidP="00E326CD">
      <w:r w:rsidRPr="00E326CD">
        <w:t>Valná hromada společnosti v prosinci 1998 zvolila výbor a revizní komisi pro další funkční období. Předsedou výboru se stal P</w:t>
      </w:r>
      <w:r w:rsidR="00342D7F">
        <w:t>etr</w:t>
      </w:r>
      <w:r w:rsidRPr="00E326CD">
        <w:t xml:space="preserve"> Mandl, místopředsedy V</w:t>
      </w:r>
      <w:r w:rsidR="00342D7F">
        <w:t>áclav</w:t>
      </w:r>
      <w:r w:rsidRPr="00E326CD">
        <w:t xml:space="preserve"> </w:t>
      </w:r>
      <w:proofErr w:type="spellStart"/>
      <w:r w:rsidRPr="00E326CD">
        <w:t>Šafanda</w:t>
      </w:r>
      <w:proofErr w:type="spellEnd"/>
      <w:r w:rsidRPr="00E326CD">
        <w:t xml:space="preserve"> a D</w:t>
      </w:r>
      <w:r w:rsidR="00342D7F">
        <w:t>ana</w:t>
      </w:r>
      <w:r w:rsidRPr="00E326CD">
        <w:t xml:space="preserve"> Vorlíčková, členy a funkcionáři výboru J</w:t>
      </w:r>
      <w:r w:rsidR="00342D7F">
        <w:t>aroslava</w:t>
      </w:r>
      <w:r w:rsidRPr="00E326CD">
        <w:t xml:space="preserve"> </w:t>
      </w:r>
      <w:proofErr w:type="spellStart"/>
      <w:r w:rsidRPr="00E326CD">
        <w:t>Feistauerová</w:t>
      </w:r>
      <w:proofErr w:type="spellEnd"/>
      <w:r w:rsidRPr="00E326CD">
        <w:t>, J</w:t>
      </w:r>
      <w:r w:rsidR="00342D7F">
        <w:t>iří</w:t>
      </w:r>
      <w:r w:rsidRPr="00E326CD">
        <w:t xml:space="preserve"> Fialka, Z</w:t>
      </w:r>
      <w:r w:rsidR="00342D7F">
        <w:t>uzana</w:t>
      </w:r>
      <w:r w:rsidRPr="00E326CD">
        <w:t xml:space="preserve"> Kepková, K</w:t>
      </w:r>
      <w:r w:rsidR="00342D7F">
        <w:t>ateřina</w:t>
      </w:r>
      <w:r w:rsidRPr="00E326CD">
        <w:t xml:space="preserve"> Pastorková. Za členy revizní komise byli zvoleni P</w:t>
      </w:r>
      <w:r w:rsidR="00342D7F">
        <w:t>etr</w:t>
      </w:r>
      <w:r w:rsidRPr="00E326CD">
        <w:t xml:space="preserve"> Bohumský, T</w:t>
      </w:r>
      <w:r w:rsidR="00342D7F">
        <w:t>omáš</w:t>
      </w:r>
      <w:r w:rsidRPr="00E326CD">
        <w:t xml:space="preserve"> Cipra, L</w:t>
      </w:r>
      <w:r w:rsidR="00342D7F">
        <w:t>ucie</w:t>
      </w:r>
      <w:r w:rsidRPr="00E326CD">
        <w:t xml:space="preserve"> Mazurová.</w:t>
      </w:r>
    </w:p>
    <w:p w14:paraId="256B06DC" w14:textId="15FF9C62" w:rsidR="00E326CD" w:rsidRPr="00E326CD" w:rsidRDefault="00E326CD" w:rsidP="00E326CD">
      <w:r w:rsidRPr="00E326CD">
        <w:t>K přijetí za plného člena se společnost zavázala, že bude mít do konce roku 1999 závazný postup vydávání odborných směrnic. Postup byl schválen valnou hromadou společnosti v červnu 1999 usnesením s názvem Vydávání a schvalování odborných zásad.</w:t>
      </w:r>
    </w:p>
    <w:p w14:paraId="23E6690F" w14:textId="73DA9756" w:rsidR="00E326CD" w:rsidRPr="00E326CD" w:rsidRDefault="00E326CD" w:rsidP="00E326CD">
      <w:r w:rsidRPr="00E326CD">
        <w:t xml:space="preserve">V témže roce se dostalo České společnosti aktuárů dalšího mezinárodního uznání. Byla přijata za přidruženého člena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, plnými členy mohou být pouze společnosti ze států Evropské unie. Na zasedání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v říjnu byla již naše společnost zastoupena.</w:t>
      </w:r>
    </w:p>
    <w:p w14:paraId="6D036B29" w14:textId="47CD4033" w:rsidR="00785510" w:rsidRDefault="00785510" w:rsidP="00785510">
      <w:pPr>
        <w:pStyle w:val="Nadpis3"/>
      </w:pPr>
      <w:r>
        <w:t>Odpovědní pojistní matematikové (2000 – 2016)</w:t>
      </w:r>
    </w:p>
    <w:p w14:paraId="4EF6D738" w14:textId="3FD517EB" w:rsidR="00E326CD" w:rsidRPr="00E326CD" w:rsidRDefault="00E326CD" w:rsidP="00E326CD">
      <w:r w:rsidRPr="00E326CD">
        <w:t xml:space="preserve">Zákon o pojišťovnictví č. 363 / 1999 Sb. uložil pojišťovnám povinnost ustanovit od 1. 10. 2000 odpovědné pojistné matematiky. Těmi se mohou stát pouze držitelé osvědčení vydaného </w:t>
      </w:r>
      <w:proofErr w:type="spellStart"/>
      <w:r w:rsidRPr="00E326CD">
        <w:t>aktuárskou</w:t>
      </w:r>
      <w:proofErr w:type="spellEnd"/>
      <w:r w:rsidRPr="00E326CD">
        <w:t xml:space="preserve"> společností, která je plným členem IAA. Lze konstatovat, že vydávání osvědčení odpovídalo současné úrovni rozvoje aktuárské profese u nás a potřebám pojišťoven. K 1. 10. 2000 mělo osvědčení 35 členů společnosti.</w:t>
      </w:r>
    </w:p>
    <w:p w14:paraId="3F9A4576" w14:textId="1FA2A9DE" w:rsidR="00E326CD" w:rsidRPr="00E326CD" w:rsidRDefault="00E326CD" w:rsidP="00E326CD">
      <w:r w:rsidRPr="00E326CD">
        <w:t xml:space="preserve">Přijetím do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dostalo zaměření společnosti na docílení rovných podmínek našich aktuárů s </w:t>
      </w:r>
      <w:proofErr w:type="spellStart"/>
      <w:r w:rsidRPr="00E326CD">
        <w:t>aktuáry</w:t>
      </w:r>
      <w:proofErr w:type="spellEnd"/>
      <w:r w:rsidRPr="00E326CD">
        <w:t xml:space="preserve"> EU konkrétnější podobu. Společnost se proto zaměřila na rozbor kvalifikačních požadavků </w:t>
      </w:r>
      <w:proofErr w:type="spellStart"/>
      <w:r w:rsidRPr="00E326CD">
        <w:t>aktuárských</w:t>
      </w:r>
      <w:proofErr w:type="spellEnd"/>
      <w:r w:rsidRPr="00E326CD">
        <w:t xml:space="preserve"> společností v </w:t>
      </w:r>
      <w:r w:rsidR="00814538" w:rsidRPr="00E326CD">
        <w:t>zemích,</w:t>
      </w:r>
      <w:r w:rsidRPr="00E326CD">
        <w:t xml:space="preserve"> které nám jsou blízké tradicí vzdělávání, v Rakousku a ve Švýcarsku. </w:t>
      </w:r>
      <w:r w:rsidRPr="00814538">
        <w:t>V</w:t>
      </w:r>
      <w:r w:rsidR="00814538">
        <w:t> </w:t>
      </w:r>
      <w:r w:rsidRPr="00814538">
        <w:t>obou</w:t>
      </w:r>
      <w:r w:rsidRPr="00E326CD">
        <w:t xml:space="preserve"> zemích došlo ke změně certifikace členů, ve Švýcarsku s účinností od září 1999, v Rakousku od září 2000. Tento vývoj souvisí s reformou IAA, jedním z jejíchž cílů je dosažení rovnoměrnosti kvalifikačních požadavků.</w:t>
      </w:r>
    </w:p>
    <w:p w14:paraId="79E13EE1" w14:textId="77777777" w:rsidR="00AC03F9" w:rsidRDefault="00AC03F9" w:rsidP="00AC03F9">
      <w:pPr>
        <w:pStyle w:val="Nadpis3"/>
      </w:pPr>
      <w:r>
        <w:t>Harmonizace osvědčení s 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,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(2002)</w:t>
      </w:r>
    </w:p>
    <w:p w14:paraId="4C4454A7" w14:textId="469BEF35" w:rsidR="00E326CD" w:rsidRPr="00E326CD" w:rsidRDefault="00E326CD" w:rsidP="00E326CD">
      <w:r w:rsidRPr="00E326CD">
        <w:t xml:space="preserve">Hlavní činností v roce 2000 byla příprava a projednání změny pravidel udělování osvědčení. Jarní členská schůze byla věnována informaci o nových pravidlech v Rakousku a Švýcarsku. Ukázalo se být nejvhodnějším převzít rakouskou koncepci. Návrh pravidel byl zdůvodněn na podzimní členské schůzi a schválen s účinností od 1. 1. 2001 valnou hromadou. K certifikaci je třeba prokázat vysokoškolské vzdělání v matematice a zkoušky z vyjmenovaných předmětů pojistné matematiky, teorie financí a vyšší finanční </w:t>
      </w:r>
      <w:r w:rsidRPr="00E326CD">
        <w:lastRenderedPageBreak/>
        <w:t>matematiky a z pojišťovacího práva. V roce 2001 byla umožněna certifikace podle dřívějšího postupu těm členům, kteří splnili podmínky tříleté úspěšné praxe do konce roku 2000. Komise pro udělování osvědčení projednala v roce 2001 takto 13 žádostí.</w:t>
      </w:r>
    </w:p>
    <w:p w14:paraId="15AD2DD5" w14:textId="544F45EB" w:rsidR="00E326CD" w:rsidRPr="00E326CD" w:rsidRDefault="00E326CD" w:rsidP="00E326CD">
      <w:r w:rsidRPr="00E326CD">
        <w:t>Vydávání odborných směrnic zahájila společnost v roce 2001 směrnicí Odpovědní pojistní matematikové.</w:t>
      </w:r>
    </w:p>
    <w:p w14:paraId="10412D9B" w14:textId="2D351E98" w:rsidR="00E326CD" w:rsidRPr="00E326CD" w:rsidRDefault="00E326CD" w:rsidP="00E326CD">
      <w:r w:rsidRPr="00E326CD">
        <w:t xml:space="preserve">Regionální spolupráci </w:t>
      </w:r>
      <w:proofErr w:type="spellStart"/>
      <w:r w:rsidRPr="00E326CD">
        <w:t>aktuárských</w:t>
      </w:r>
      <w:proofErr w:type="spellEnd"/>
      <w:r w:rsidRPr="00E326CD">
        <w:t xml:space="preserve"> společností české, maďarské, polské, rakouské a slovenské byla věnována schůzka jejich představitelů v Bratislavě v září 2001. Česká společnost tuto iniciativu k užitečné výměně názorů a zkušeností uvítala.</w:t>
      </w:r>
    </w:p>
    <w:p w14:paraId="443AF71E" w14:textId="09F30C97" w:rsidR="00E326CD" w:rsidRPr="00E326CD" w:rsidRDefault="00E326CD" w:rsidP="00E326CD">
      <w:r w:rsidRPr="00E326CD">
        <w:t xml:space="preserve">Nejzávažnějším rozhodnutím zasedání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v září 2001 bylo usnesení, aby členské společnosti měly do konce roku 2005 požadavky na odbornost členů vyhovující minimálnímu sylabu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(Core </w:t>
      </w:r>
      <w:proofErr w:type="spellStart"/>
      <w:r w:rsidRPr="00E326CD">
        <w:t>Syllabus</w:t>
      </w:r>
      <w:proofErr w:type="spellEnd"/>
      <w:r w:rsidRPr="00E326CD">
        <w:t xml:space="preserve"> </w:t>
      </w:r>
      <w:proofErr w:type="spellStart"/>
      <w:r w:rsidRPr="00E326CD">
        <w:t>for</w:t>
      </w:r>
      <w:proofErr w:type="spellEnd"/>
      <w:r w:rsidRPr="00E326CD">
        <w:t xml:space="preserve"> </w:t>
      </w:r>
      <w:proofErr w:type="spellStart"/>
      <w:r w:rsidRPr="00E326CD">
        <w:t>Actuarial</w:t>
      </w:r>
      <w:proofErr w:type="spellEnd"/>
      <w:r w:rsidRPr="00E326CD">
        <w:t xml:space="preserve"> </w:t>
      </w:r>
      <w:proofErr w:type="spellStart"/>
      <w:r w:rsidRPr="00E326CD">
        <w:t>Training</w:t>
      </w:r>
      <w:proofErr w:type="spellEnd"/>
      <w:r w:rsidRPr="00E326CD">
        <w:t xml:space="preserve"> in </w:t>
      </w:r>
      <w:proofErr w:type="spellStart"/>
      <w:r w:rsidRPr="00E326CD">
        <w:t>Europe</w:t>
      </w:r>
      <w:proofErr w:type="spellEnd"/>
      <w:r w:rsidRPr="00E326CD">
        <w:t xml:space="preserve">, </w:t>
      </w:r>
      <w:proofErr w:type="spellStart"/>
      <w:r w:rsidRPr="00E326CD">
        <w:t>December</w:t>
      </w:r>
      <w:proofErr w:type="spellEnd"/>
      <w:r w:rsidRPr="00E326CD">
        <w:t xml:space="preserve"> 1998). Výbor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 pro vzdělávání připravil návrh dohody mezi 27 plnými a přidruženými členy</w:t>
      </w:r>
      <w:r w:rsidR="003D1A1D">
        <w:rPr>
          <w:rStyle w:val="Znakapoznpodarou"/>
        </w:rPr>
        <w:footnoteReference w:id="2"/>
      </w:r>
      <w:r w:rsidRPr="00E326CD">
        <w:t>, kterou se zavazují usnesení splnit. Česká společnost aktuárů dohodu podepsala 4. 1. 2002.</w:t>
      </w:r>
    </w:p>
    <w:p w14:paraId="67D98392" w14:textId="4D9679D0" w:rsidR="00E326CD" w:rsidRPr="00E326CD" w:rsidRDefault="00E326CD" w:rsidP="00E326CD">
      <w:r w:rsidRPr="00E326CD">
        <w:t>Valná hromada v prosinci 2001 zvolila výbor a revizní komisi společnosti pro další funkční období. L</w:t>
      </w:r>
      <w:r w:rsidR="00105641">
        <w:t>ucie</w:t>
      </w:r>
      <w:r w:rsidRPr="00E326CD">
        <w:t xml:space="preserve"> Mazurová se stala členkou výboru za Z</w:t>
      </w:r>
      <w:r w:rsidR="00105641">
        <w:t>uzanu</w:t>
      </w:r>
      <w:r w:rsidRPr="00E326CD">
        <w:t xml:space="preserve"> Kepkovou, K</w:t>
      </w:r>
      <w:r w:rsidR="00105641">
        <w:t>ateřina</w:t>
      </w:r>
      <w:r w:rsidRPr="00E326CD">
        <w:t xml:space="preserve"> </w:t>
      </w:r>
      <w:proofErr w:type="spellStart"/>
      <w:r w:rsidRPr="00E326CD">
        <w:t>Šmuková</w:t>
      </w:r>
      <w:proofErr w:type="spellEnd"/>
      <w:r w:rsidRPr="00E326CD">
        <w:t xml:space="preserve"> byla zvolena do revizní komise.</w:t>
      </w:r>
    </w:p>
    <w:p w14:paraId="7E061274" w14:textId="3A2C0821" w:rsidR="00E326CD" w:rsidRPr="00E326CD" w:rsidRDefault="00E326CD" w:rsidP="00E326CD">
      <w:r w:rsidRPr="00E326CD">
        <w:t xml:space="preserve">Od počátku roku 2002 se výbor zabýval opatřeními ke splnění závazků dohody o dodržení minimálních sylabů. Vycházel ze stanoviska, že nové podmínky pro udělování osvědčení splňují požadavky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. Zřejmou byla rovněž nutnost, věnovat se dodatečnému vzdělávání členů systematičtěji s určitou povinností účasti na vzdělávání. K tomu, aby společnost mohla přistoupit k existující dohodě o vzájemném uznávání kvalifikace je nutné, aby certifikovaní členové měli osvědčení, které lze považovat za „diplom o vyšším vzdělání udělený po absolvování profesního vzdělávání a školení v trvání aspoň tří let“, jak požadují stanovy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>.</w:t>
      </w:r>
    </w:p>
    <w:p w14:paraId="5475B570" w14:textId="2F460F97" w:rsidR="00E326CD" w:rsidRPr="00E326CD" w:rsidRDefault="00E326CD" w:rsidP="00E326CD">
      <w:r w:rsidRPr="00E326CD">
        <w:t xml:space="preserve">Návrh opatření obsahoval zavedení programu dalšího vzdělávání se zásadou spoluúčasti členů převážně v rámci Semináře z </w:t>
      </w:r>
      <w:proofErr w:type="spellStart"/>
      <w:r w:rsidRPr="00E326CD">
        <w:t>aktuárských</w:t>
      </w:r>
      <w:proofErr w:type="spellEnd"/>
      <w:r w:rsidRPr="00E326CD">
        <w:t xml:space="preserve"> věd.  Vzhledem k tomu, že společnost po roce 2005 nebude mít oprávnění zaručovat se za odbornost členů, jejichž vzdělání nesplňuje požadavky </w:t>
      </w:r>
      <w:proofErr w:type="spellStart"/>
      <w:r w:rsidRPr="00E326CD">
        <w:t>Groupe</w:t>
      </w:r>
      <w:proofErr w:type="spellEnd"/>
      <w:r w:rsidRPr="00E326CD">
        <w:t xml:space="preserve"> </w:t>
      </w:r>
      <w:proofErr w:type="spellStart"/>
      <w:r w:rsidRPr="00E326CD">
        <w:t>Consultatif</w:t>
      </w:r>
      <w:proofErr w:type="spellEnd"/>
      <w:r w:rsidRPr="00E326CD">
        <w:t xml:space="preserve">, bude třeba, aby certifikovaní členové měli osvědčení o způsobilosti vykonávat </w:t>
      </w:r>
      <w:proofErr w:type="spellStart"/>
      <w:r w:rsidRPr="00E326CD">
        <w:t>aktuárskou</w:t>
      </w:r>
      <w:proofErr w:type="spellEnd"/>
      <w:r w:rsidRPr="00E326CD">
        <w:t xml:space="preserve"> činnost a o dosaženém vzdělání. Rámec těchto opatření schválila valná hromada v dubnu 2002.</w:t>
      </w:r>
    </w:p>
    <w:p w14:paraId="1EAF1030" w14:textId="07A50B55" w:rsidR="00E326CD" w:rsidRPr="00E326CD" w:rsidRDefault="00E326CD" w:rsidP="00E326CD">
      <w:r w:rsidRPr="00E326CD">
        <w:t xml:space="preserve">17. – 22. března se konal v </w:t>
      </w:r>
      <w:proofErr w:type="spellStart"/>
      <w:r w:rsidRPr="00E326CD">
        <w:t>Cancúnu</w:t>
      </w:r>
      <w:proofErr w:type="spellEnd"/>
      <w:r w:rsidRPr="00E326CD">
        <w:t xml:space="preserve"> v Mexiku 27. Mezinárodní kongres aktuárů. Kongresu se zúčastnil dr. </w:t>
      </w:r>
      <w:r w:rsidR="00926788">
        <w:t xml:space="preserve">Jiří </w:t>
      </w:r>
      <w:r w:rsidRPr="00E326CD">
        <w:t>Fialka.</w:t>
      </w:r>
    </w:p>
    <w:p w14:paraId="6594F1DC" w14:textId="057CC934" w:rsidR="00DC7BC4" w:rsidRDefault="00DC7BC4" w:rsidP="00DC7BC4">
      <w:pPr>
        <w:pStyle w:val="Nadpis3"/>
      </w:pPr>
      <w:r>
        <w:t>IFRS</w:t>
      </w:r>
    </w:p>
    <w:p w14:paraId="2FEEF3DB" w14:textId="599288BF" w:rsidR="00E326CD" w:rsidRPr="00E326CD" w:rsidRDefault="00E326CD" w:rsidP="00E326CD">
      <w:r w:rsidRPr="00E326CD">
        <w:t xml:space="preserve">Společnost sleduje od roku 2000 podrobně přípravu Mezinárodního účetního standardu pro pojistné smlouvy a s ní související výměnu názorů na účetnictví pojišťoven. V roce </w:t>
      </w:r>
      <w:r w:rsidR="006200CA" w:rsidRPr="00E326CD">
        <w:t>2002 ustavila</w:t>
      </w:r>
      <w:r w:rsidRPr="00E326CD">
        <w:t xml:space="preserve"> pracovní skupinu pro Mezinárodní účetní standardy. Skupina vypracovala odbornou směrnici Oceňování závazků z pojistných smluv reálnou hodnotou.</w:t>
      </w:r>
    </w:p>
    <w:p w14:paraId="19C8B3DC" w14:textId="01F00D80" w:rsidR="00E326CD" w:rsidRPr="00E326CD" w:rsidRDefault="00E326CD" w:rsidP="00E326CD">
      <w:r w:rsidRPr="00E326CD">
        <w:t>K 1. listopadu 2002 měla společnost 134 členů.</w:t>
      </w:r>
    </w:p>
    <w:p w14:paraId="2D8EDB06" w14:textId="4523A0D5" w:rsidR="001952CA" w:rsidRPr="006E5C46" w:rsidRDefault="00E326CD" w:rsidP="00E326CD">
      <w:r w:rsidRPr="00E326CD">
        <w:t>V desátém roce obnovené existence vstoupila Česká společnost aktuárů do období přípravy profese pojistných matematiků na vstup našeho státu do Evropské unie. Tomu cíli slouží zejména přijaté usnesení o vzdělávání a certifikaci členů.</w:t>
      </w:r>
    </w:p>
    <w:p w14:paraId="6D58600B" w14:textId="65CD208A" w:rsidR="009B6955" w:rsidRPr="009B6955" w:rsidRDefault="009B6955" w:rsidP="008D46C3">
      <w:pPr>
        <w:pStyle w:val="Nadpis2"/>
      </w:pPr>
      <w:r w:rsidRPr="009B6955">
        <w:t>Ediční poznámka</w:t>
      </w:r>
    </w:p>
    <w:p w14:paraId="726989B8" w14:textId="136EE8DB" w:rsidR="009B6955" w:rsidRDefault="009B6955" w:rsidP="009B6955">
      <w:r>
        <w:t>Původní text prof. Petra Mandla zformátoval a doplnil Jan Šváb</w:t>
      </w:r>
      <w:r w:rsidR="0091208C">
        <w:t xml:space="preserve"> o</w:t>
      </w:r>
      <w:r>
        <w:t xml:space="preserve"> křestní jména na místo iniciál, informace o některých</w:t>
      </w:r>
      <w:r w:rsidR="00A41177">
        <w:t xml:space="preserve">, zejména zahraničních, </w:t>
      </w:r>
      <w:r>
        <w:t>zmíněných osobách, odkazy, reference a nadpisy jednotlivých částí textu.</w:t>
      </w:r>
    </w:p>
    <w:p w14:paraId="6B77E287" w14:textId="55D53E45" w:rsidR="001039C9" w:rsidRDefault="001039C9"/>
    <w:sectPr w:rsidR="001039C9" w:rsidSect="005B4FC5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64" w:right="1418" w:bottom="1440" w:left="1418" w:header="425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12AC" w14:textId="77777777" w:rsidR="0037253F" w:rsidRDefault="0037253F" w:rsidP="00F4471D">
      <w:r>
        <w:separator/>
      </w:r>
    </w:p>
  </w:endnote>
  <w:endnote w:type="continuationSeparator" w:id="0">
    <w:p w14:paraId="6A6E68FF" w14:textId="77777777" w:rsidR="0037253F" w:rsidRDefault="0037253F" w:rsidP="00F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panose1 w:val="020B0603030403020204"/>
    <w:charset w:val="EE"/>
    <w:family w:val="swiss"/>
    <w:pitch w:val="variable"/>
    <w:sig w:usb0="20000007" w:usb1="00000001" w:usb2="00000000" w:usb3="00000000" w:csb0="000001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30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26252" w14:textId="77777777" w:rsidR="007851B4" w:rsidRDefault="00B669DF">
        <w:pPr>
          <w:pStyle w:val="Zpat"/>
          <w:jc w:val="center"/>
        </w:pPr>
        <w:r w:rsidRPr="00B669DF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30080" behindDoc="0" locked="0" layoutInCell="1" allowOverlap="1" wp14:anchorId="5ED18532" wp14:editId="26EFA7F5">
                  <wp:simplePos x="0" y="0"/>
                  <wp:positionH relativeFrom="column">
                    <wp:posOffset>4087500</wp:posOffset>
                  </wp:positionH>
                  <wp:positionV relativeFrom="paragraph">
                    <wp:posOffset>-3083878</wp:posOffset>
                  </wp:positionV>
                  <wp:extent cx="1" cy="6120000"/>
                  <wp:effectExtent l="0" t="3059748" r="3074353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rot="5400000" flipH="1">
                            <a:off x="0" y="0"/>
                            <a:ext cx="1" cy="61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D7C6EC2" id="Straight Connector 9" o:spid="_x0000_s1026" style="position:absolute;rotation:-90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-242.85pt" to="321.85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" strokecolor="#002e34 [3213]" strokeweight="1.5pt"/>
              </w:pict>
            </mc:Fallback>
          </mc:AlternateContent>
        </w:r>
        <w:r w:rsidRPr="00B669DF">
          <w:rPr>
            <w:noProof/>
            <w:lang w:val="en-GB" w:eastAsia="en-GB"/>
          </w:rPr>
          <w:drawing>
            <wp:anchor distT="0" distB="0" distL="114300" distR="114300" simplePos="0" relativeHeight="251627008" behindDoc="0" locked="0" layoutInCell="1" allowOverlap="1" wp14:anchorId="530B1ED8" wp14:editId="6CAB3130">
              <wp:simplePos x="0" y="0"/>
              <wp:positionH relativeFrom="column">
                <wp:posOffset>-340360</wp:posOffset>
              </wp:positionH>
              <wp:positionV relativeFrom="paragraph">
                <wp:posOffset>-239395</wp:posOffset>
              </wp:positionV>
              <wp:extent cx="1460311" cy="425634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tuaria nazev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0311" cy="4256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5D0CC7">
          <w:rPr>
            <w:noProof/>
          </w:rPr>
          <w:t>2</w:t>
        </w:r>
        <w:r w:rsidR="007851B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8052" w14:textId="77777777" w:rsidR="007851B4" w:rsidRDefault="00F8604C">
    <w:pPr>
      <w:pStyle w:val="Zpat"/>
      <w:jc w:val="center"/>
    </w:pPr>
    <w:r w:rsidRPr="00B669D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77536" behindDoc="0" locked="0" layoutInCell="1" allowOverlap="1" wp14:anchorId="7E8AEDC7" wp14:editId="32D0E880">
              <wp:simplePos x="0" y="0"/>
              <wp:positionH relativeFrom="column">
                <wp:posOffset>1618615</wp:posOffset>
              </wp:positionH>
              <wp:positionV relativeFrom="paragraph">
                <wp:posOffset>-3069590</wp:posOffset>
              </wp:positionV>
              <wp:extent cx="0" cy="6119495"/>
              <wp:effectExtent l="0" t="3059748" r="3074353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0" cy="611949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6BCED3" id="Straight Connector 16" o:spid="_x0000_s1026" style="position:absolute;rotation:-90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-241.7pt" to="127.4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" strokecolor="#002e34 [3213]" strokeweight="1.5pt"/>
          </w:pict>
        </mc:Fallback>
      </mc:AlternateContent>
    </w:r>
    <w:r w:rsidRPr="00B669DF">
      <w:rPr>
        <w:noProof/>
        <w:lang w:val="en-GB" w:eastAsia="en-GB"/>
      </w:rPr>
      <w:drawing>
        <wp:anchor distT="0" distB="0" distL="114300" distR="114300" simplePos="0" relativeHeight="251703808" behindDoc="0" locked="0" layoutInCell="1" allowOverlap="1" wp14:anchorId="13743E0F" wp14:editId="6D7D8AD5">
          <wp:simplePos x="0" y="0"/>
          <wp:positionH relativeFrom="column">
            <wp:posOffset>4593699</wp:posOffset>
          </wp:positionH>
          <wp:positionV relativeFrom="paragraph">
            <wp:posOffset>-224790</wp:posOffset>
          </wp:positionV>
          <wp:extent cx="1459865" cy="4254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72804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5D0CC7">
          <w:rPr>
            <w:noProof/>
          </w:rPr>
          <w:t>3</w:t>
        </w:r>
        <w:r w:rsidR="007851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B7AA" w14:textId="77777777" w:rsidR="00B669DF" w:rsidRDefault="00B669DF">
    <w:pPr>
      <w:pStyle w:val="Zpat"/>
    </w:pPr>
    <w:r w:rsidRPr="00B669DF"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593216" behindDoc="0" locked="0" layoutInCell="1" allowOverlap="1" wp14:anchorId="582DBB41" wp14:editId="6D75A3AC">
          <wp:simplePos x="0" y="0"/>
          <wp:positionH relativeFrom="column">
            <wp:posOffset>-1018222</wp:posOffset>
          </wp:positionH>
          <wp:positionV relativeFrom="paragraph">
            <wp:posOffset>-1518290</wp:posOffset>
          </wp:positionV>
          <wp:extent cx="2664460" cy="776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6446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577C" w14:textId="77777777" w:rsidR="0037253F" w:rsidRDefault="0037253F" w:rsidP="00F4471D">
      <w:r>
        <w:separator/>
      </w:r>
    </w:p>
  </w:footnote>
  <w:footnote w:type="continuationSeparator" w:id="0">
    <w:p w14:paraId="3F7AE414" w14:textId="77777777" w:rsidR="0037253F" w:rsidRDefault="0037253F" w:rsidP="00F4471D">
      <w:r>
        <w:continuationSeparator/>
      </w:r>
    </w:p>
  </w:footnote>
  <w:footnote w:id="1">
    <w:p w14:paraId="557257E6" w14:textId="15D1A669" w:rsidR="004D51E6" w:rsidRDefault="004D51E6">
      <w:pPr>
        <w:pStyle w:val="Textpoznpodarou"/>
      </w:pPr>
      <w:r>
        <w:rPr>
          <w:rStyle w:val="Znakapoznpodarou"/>
        </w:rPr>
        <w:footnoteRef/>
      </w:r>
      <w:r>
        <w:t xml:space="preserve"> Dnes </w:t>
      </w:r>
      <w:proofErr w:type="spellStart"/>
      <w:r>
        <w:t>Actuarial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(AAE)</w:t>
      </w:r>
      <w:r w:rsidR="00086983">
        <w:t>.</w:t>
      </w:r>
    </w:p>
  </w:footnote>
  <w:footnote w:id="2">
    <w:p w14:paraId="4C36BB0C" w14:textId="27142B01" w:rsidR="003D1A1D" w:rsidRDefault="003D1A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agreement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4401" w14:textId="77777777" w:rsidR="00E349AB" w:rsidRPr="00360BCF" w:rsidRDefault="00B669DF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0443EEDD" wp14:editId="3D2F53E6">
          <wp:simplePos x="0" y="0"/>
          <wp:positionH relativeFrom="column">
            <wp:posOffset>-1200681</wp:posOffset>
          </wp:positionH>
          <wp:positionV relativeFrom="paragraph">
            <wp:posOffset>858818</wp:posOffset>
          </wp:positionV>
          <wp:extent cx="1393372" cy="1393344"/>
          <wp:effectExtent l="0" t="0" r="0" b="0"/>
          <wp:wrapNone/>
          <wp:docPr id="2" name="Picture 1" descr=":::cz3479 - Actuaria - Graficka identita:Actuaria symbol 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:::cz3479 - Actuaria - Graficka identita:Actuaria symbol kruh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72" cy="139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9DF">
      <w:rPr>
        <w:rFonts w:ascii="Times New Roman" w:hAnsi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23936" behindDoc="0" locked="0" layoutInCell="1" allowOverlap="1" wp14:anchorId="5BB2808F" wp14:editId="69FADE44">
              <wp:simplePos x="0" y="0"/>
              <wp:positionH relativeFrom="column">
                <wp:posOffset>508000</wp:posOffset>
              </wp:positionH>
              <wp:positionV relativeFrom="paragraph">
                <wp:posOffset>293048</wp:posOffset>
              </wp:positionV>
              <wp:extent cx="0" cy="9504000"/>
              <wp:effectExtent l="0" t="0" r="19050" b="215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4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A8CCD" id="Straight Connector 6" o:spid="_x0000_s1026" style="position:absolute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pt,23.05pt" to="40pt,7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" strokecolor="#002e34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109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D4252"/>
    <w:multiLevelType w:val="multilevel"/>
    <w:tmpl w:val="4C7232CC"/>
    <w:lvl w:ilvl="0">
      <w:start w:val="1"/>
      <w:numFmt w:val="decimal"/>
      <w:pStyle w:val="slovanseznam1"/>
      <w:lvlText w:val="%1."/>
      <w:lvlJc w:val="left"/>
      <w:pPr>
        <w:ind w:left="720" w:hanging="360"/>
      </w:pPr>
      <w:rPr>
        <w:rFonts w:hint="default"/>
        <w:color w:val="00AFDB" w:themeColor="background2"/>
      </w:rPr>
    </w:lvl>
    <w:lvl w:ilvl="1">
      <w:start w:val="1"/>
      <w:numFmt w:val="lowerLetter"/>
      <w:pStyle w:val="slovanseznam21"/>
      <w:lvlText w:val="%2."/>
      <w:lvlJc w:val="left"/>
      <w:pPr>
        <w:ind w:left="1440" w:hanging="360"/>
      </w:pPr>
      <w:rPr>
        <w:rFonts w:hint="default"/>
        <w:color w:val="00AFDB" w:themeColor="background2"/>
      </w:rPr>
    </w:lvl>
    <w:lvl w:ilvl="2">
      <w:start w:val="1"/>
      <w:numFmt w:val="lowerRoman"/>
      <w:pStyle w:val="slovanseznam31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pStyle w:val="slovanseznam41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pStyle w:val="slovanseznam51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pStyle w:val="slovanseznam6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2" w15:restartNumberingAfterBreak="0">
    <w:nsid w:val="39CC747B"/>
    <w:multiLevelType w:val="multilevel"/>
    <w:tmpl w:val="2A346338"/>
    <w:numStyleLink w:val="Seznamsodrkami1"/>
  </w:abstractNum>
  <w:abstractNum w:abstractNumId="3" w15:restartNumberingAfterBreak="0">
    <w:nsid w:val="3EE772A2"/>
    <w:multiLevelType w:val="multilevel"/>
    <w:tmpl w:val="2A346338"/>
    <w:styleLink w:val="Seznamsodrkami1"/>
    <w:lvl w:ilvl="0">
      <w:start w:val="1"/>
      <w:numFmt w:val="bullet"/>
      <w:pStyle w:val="Seznamsodrkami10"/>
      <w:lvlText w:val=""/>
      <w:lvlJc w:val="left"/>
      <w:pPr>
        <w:ind w:left="720" w:hanging="360"/>
      </w:pPr>
      <w:rPr>
        <w:rFonts w:ascii="Symbol" w:hAnsi="Symbol" w:hint="default"/>
        <w:color w:val="00AFDB" w:themeColor="background2"/>
      </w:rPr>
    </w:lvl>
    <w:lvl w:ilvl="1">
      <w:start w:val="1"/>
      <w:numFmt w:val="bullet"/>
      <w:pStyle w:val="Seznamsodrkami21"/>
      <w:lvlText w:val="o"/>
      <w:lvlJc w:val="left"/>
      <w:pPr>
        <w:ind w:left="1440" w:hanging="360"/>
      </w:pPr>
      <w:rPr>
        <w:rFonts w:ascii="Courier New" w:hAnsi="Courier New" w:hint="default"/>
        <w:color w:val="00AFDB" w:themeColor="background2"/>
      </w:rPr>
    </w:lvl>
    <w:lvl w:ilvl="2">
      <w:start w:val="1"/>
      <w:numFmt w:val="bullet"/>
      <w:pStyle w:val="Seznamsodrkami31"/>
      <w:lvlText w:val=""/>
      <w:lvlJc w:val="left"/>
      <w:pPr>
        <w:ind w:left="2160" w:hanging="360"/>
      </w:pPr>
      <w:rPr>
        <w:rFonts w:ascii="Wingdings" w:hAnsi="Wingdings" w:hint="default"/>
        <w:color w:val="00AFDB" w:themeColor="background2"/>
      </w:rPr>
    </w:lvl>
    <w:lvl w:ilvl="3">
      <w:start w:val="1"/>
      <w:numFmt w:val="bullet"/>
      <w:pStyle w:val="Seznamsodrkami41"/>
      <w:lvlText w:val=""/>
      <w:lvlJc w:val="left"/>
      <w:pPr>
        <w:ind w:left="2880" w:hanging="360"/>
      </w:pPr>
      <w:rPr>
        <w:rFonts w:ascii="Symbol" w:hAnsi="Symbol" w:hint="default"/>
        <w:color w:val="00AFDB" w:themeColor="background2"/>
      </w:rPr>
    </w:lvl>
    <w:lvl w:ilvl="4">
      <w:start w:val="1"/>
      <w:numFmt w:val="bullet"/>
      <w:pStyle w:val="Seznamsodrkami51"/>
      <w:lvlText w:val="o"/>
      <w:lvlJc w:val="left"/>
      <w:pPr>
        <w:ind w:left="3600" w:hanging="360"/>
      </w:pPr>
      <w:rPr>
        <w:rFonts w:ascii="Courier New" w:hAnsi="Courier New" w:hint="default"/>
        <w:color w:val="00AFDB" w:themeColor="background2"/>
      </w:rPr>
    </w:lvl>
    <w:lvl w:ilvl="5">
      <w:start w:val="1"/>
      <w:numFmt w:val="bullet"/>
      <w:pStyle w:val="Seznamsodrkami6"/>
      <w:lvlText w:val=""/>
      <w:lvlJc w:val="left"/>
      <w:pPr>
        <w:ind w:left="4320" w:hanging="360"/>
      </w:pPr>
      <w:rPr>
        <w:rFonts w:ascii="Wingdings" w:hAnsi="Wingdings" w:hint="default"/>
        <w:color w:val="00AFDB" w:themeColor="background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AFDB" w:themeColor="background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AFDB" w:themeColor="background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AFDB" w:themeColor="background2"/>
      </w:rPr>
    </w:lvl>
  </w:abstractNum>
  <w:num w:numId="1" w16cid:durableId="36516629">
    <w:abstractNumId w:val="0"/>
  </w:num>
  <w:num w:numId="2" w16cid:durableId="1335259753">
    <w:abstractNumId w:val="1"/>
  </w:num>
  <w:num w:numId="3" w16cid:durableId="1368024973">
    <w:abstractNumId w:val="1"/>
  </w:num>
  <w:num w:numId="4" w16cid:durableId="1853377457">
    <w:abstractNumId w:val="1"/>
  </w:num>
  <w:num w:numId="5" w16cid:durableId="1787039584">
    <w:abstractNumId w:val="1"/>
  </w:num>
  <w:num w:numId="6" w16cid:durableId="705562770">
    <w:abstractNumId w:val="1"/>
  </w:num>
  <w:num w:numId="7" w16cid:durableId="87428701">
    <w:abstractNumId w:val="1"/>
  </w:num>
  <w:num w:numId="8" w16cid:durableId="339283269">
    <w:abstractNumId w:val="3"/>
  </w:num>
  <w:num w:numId="9" w16cid:durableId="1503475730">
    <w:abstractNumId w:val="2"/>
  </w:num>
  <w:num w:numId="10" w16cid:durableId="1010835712">
    <w:abstractNumId w:val="2"/>
  </w:num>
  <w:num w:numId="11" w16cid:durableId="681203593">
    <w:abstractNumId w:val="2"/>
  </w:num>
  <w:num w:numId="12" w16cid:durableId="475294680">
    <w:abstractNumId w:val="2"/>
  </w:num>
  <w:num w:numId="13" w16cid:durableId="242686505">
    <w:abstractNumId w:val="2"/>
  </w:num>
  <w:num w:numId="14" w16cid:durableId="1089156061">
    <w:abstractNumId w:val="2"/>
  </w:num>
  <w:num w:numId="15" w16cid:durableId="426660885">
    <w:abstractNumId w:val="1"/>
  </w:num>
  <w:num w:numId="16" w16cid:durableId="1850213175">
    <w:abstractNumId w:val="1"/>
  </w:num>
  <w:num w:numId="17" w16cid:durableId="797458592">
    <w:abstractNumId w:val="1"/>
  </w:num>
  <w:num w:numId="18" w16cid:durableId="2108036092">
    <w:abstractNumId w:val="1"/>
  </w:num>
  <w:num w:numId="19" w16cid:durableId="1297880790">
    <w:abstractNumId w:val="1"/>
  </w:num>
  <w:num w:numId="20" w16cid:durableId="1604413505">
    <w:abstractNumId w:val="1"/>
  </w:num>
  <w:num w:numId="21" w16cid:durableId="1123688451">
    <w:abstractNumId w:val="3"/>
  </w:num>
  <w:num w:numId="22" w16cid:durableId="1823354477">
    <w:abstractNumId w:val="2"/>
  </w:num>
  <w:num w:numId="23" w16cid:durableId="1700348947">
    <w:abstractNumId w:val="2"/>
  </w:num>
  <w:num w:numId="24" w16cid:durableId="2097169937">
    <w:abstractNumId w:val="2"/>
  </w:num>
  <w:num w:numId="25" w16cid:durableId="855387561">
    <w:abstractNumId w:val="2"/>
  </w:num>
  <w:num w:numId="26" w16cid:durableId="1000159929">
    <w:abstractNumId w:val="2"/>
  </w:num>
  <w:num w:numId="27" w16cid:durableId="117777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evenAndOddHeaders/>
  <w:characterSpacingControl w:val="doNotCompress"/>
  <w:hdrShapeDefaults>
    <o:shapedefaults v:ext="edit" spidmax="2050">
      <o:colormru v:ext="edit" colors="#0c1c1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1D"/>
    <w:rsid w:val="00007A1A"/>
    <w:rsid w:val="000115B3"/>
    <w:rsid w:val="00011A14"/>
    <w:rsid w:val="00055781"/>
    <w:rsid w:val="0007047A"/>
    <w:rsid w:val="000824E8"/>
    <w:rsid w:val="00083B76"/>
    <w:rsid w:val="00086983"/>
    <w:rsid w:val="000A4CE7"/>
    <w:rsid w:val="000A79D4"/>
    <w:rsid w:val="000C60E9"/>
    <w:rsid w:val="00102A87"/>
    <w:rsid w:val="001039C9"/>
    <w:rsid w:val="00105641"/>
    <w:rsid w:val="00135A64"/>
    <w:rsid w:val="0013727F"/>
    <w:rsid w:val="00146D7A"/>
    <w:rsid w:val="00170C49"/>
    <w:rsid w:val="00191239"/>
    <w:rsid w:val="001952CA"/>
    <w:rsid w:val="001D44B9"/>
    <w:rsid w:val="001F0363"/>
    <w:rsid w:val="0020528C"/>
    <w:rsid w:val="00231904"/>
    <w:rsid w:val="00240936"/>
    <w:rsid w:val="00242328"/>
    <w:rsid w:val="00245FEA"/>
    <w:rsid w:val="00251455"/>
    <w:rsid w:val="00273DEB"/>
    <w:rsid w:val="002D026A"/>
    <w:rsid w:val="002E3ABA"/>
    <w:rsid w:val="00304071"/>
    <w:rsid w:val="003361F8"/>
    <w:rsid w:val="00342D7F"/>
    <w:rsid w:val="00344EF5"/>
    <w:rsid w:val="003519D6"/>
    <w:rsid w:val="00360BCF"/>
    <w:rsid w:val="0037253F"/>
    <w:rsid w:val="0038699A"/>
    <w:rsid w:val="003B2D7F"/>
    <w:rsid w:val="003B6FA7"/>
    <w:rsid w:val="003C716C"/>
    <w:rsid w:val="003D1A1D"/>
    <w:rsid w:val="003F0247"/>
    <w:rsid w:val="0042414E"/>
    <w:rsid w:val="00425439"/>
    <w:rsid w:val="00437969"/>
    <w:rsid w:val="004410AE"/>
    <w:rsid w:val="004D51E6"/>
    <w:rsid w:val="004E6389"/>
    <w:rsid w:val="00521D1E"/>
    <w:rsid w:val="00522276"/>
    <w:rsid w:val="00547B12"/>
    <w:rsid w:val="005520D0"/>
    <w:rsid w:val="0055336F"/>
    <w:rsid w:val="00554905"/>
    <w:rsid w:val="00576974"/>
    <w:rsid w:val="00591E70"/>
    <w:rsid w:val="005964E6"/>
    <w:rsid w:val="005B4FC5"/>
    <w:rsid w:val="005C0AB3"/>
    <w:rsid w:val="005C1065"/>
    <w:rsid w:val="005C3D45"/>
    <w:rsid w:val="005D0CC7"/>
    <w:rsid w:val="005E2024"/>
    <w:rsid w:val="00601F23"/>
    <w:rsid w:val="00616AEF"/>
    <w:rsid w:val="006200CA"/>
    <w:rsid w:val="00631A91"/>
    <w:rsid w:val="00654841"/>
    <w:rsid w:val="006706FE"/>
    <w:rsid w:val="006825A3"/>
    <w:rsid w:val="006E4FBA"/>
    <w:rsid w:val="006E5C46"/>
    <w:rsid w:val="00707565"/>
    <w:rsid w:val="007334B8"/>
    <w:rsid w:val="007428A5"/>
    <w:rsid w:val="00743BC9"/>
    <w:rsid w:val="00771DC0"/>
    <w:rsid w:val="007851B4"/>
    <w:rsid w:val="00785510"/>
    <w:rsid w:val="00791492"/>
    <w:rsid w:val="007B1B09"/>
    <w:rsid w:val="007B1FBB"/>
    <w:rsid w:val="007B3259"/>
    <w:rsid w:val="007F6452"/>
    <w:rsid w:val="008112B0"/>
    <w:rsid w:val="00814538"/>
    <w:rsid w:val="00815A4D"/>
    <w:rsid w:val="008312AC"/>
    <w:rsid w:val="00832845"/>
    <w:rsid w:val="00837BA1"/>
    <w:rsid w:val="00847ADD"/>
    <w:rsid w:val="00855B98"/>
    <w:rsid w:val="00856EB3"/>
    <w:rsid w:val="00871566"/>
    <w:rsid w:val="008761B8"/>
    <w:rsid w:val="00891FDB"/>
    <w:rsid w:val="008A014F"/>
    <w:rsid w:val="008B18FB"/>
    <w:rsid w:val="008D46C3"/>
    <w:rsid w:val="008F7B98"/>
    <w:rsid w:val="0091208C"/>
    <w:rsid w:val="009126D4"/>
    <w:rsid w:val="00926788"/>
    <w:rsid w:val="00941AA5"/>
    <w:rsid w:val="00946975"/>
    <w:rsid w:val="009601C5"/>
    <w:rsid w:val="009643C1"/>
    <w:rsid w:val="00982CC8"/>
    <w:rsid w:val="00984170"/>
    <w:rsid w:val="00995371"/>
    <w:rsid w:val="009954E2"/>
    <w:rsid w:val="00997813"/>
    <w:rsid w:val="00997D3F"/>
    <w:rsid w:val="009B1CFA"/>
    <w:rsid w:val="009B6763"/>
    <w:rsid w:val="009B6955"/>
    <w:rsid w:val="009C4800"/>
    <w:rsid w:val="009D43D9"/>
    <w:rsid w:val="009F0177"/>
    <w:rsid w:val="00A06BC7"/>
    <w:rsid w:val="00A15A81"/>
    <w:rsid w:val="00A21FCE"/>
    <w:rsid w:val="00A32AF2"/>
    <w:rsid w:val="00A41177"/>
    <w:rsid w:val="00A6030F"/>
    <w:rsid w:val="00A905BE"/>
    <w:rsid w:val="00AC03F9"/>
    <w:rsid w:val="00AC12AE"/>
    <w:rsid w:val="00B07F9C"/>
    <w:rsid w:val="00B10A76"/>
    <w:rsid w:val="00B15051"/>
    <w:rsid w:val="00B272C9"/>
    <w:rsid w:val="00B3391D"/>
    <w:rsid w:val="00B669DF"/>
    <w:rsid w:val="00BA2BA6"/>
    <w:rsid w:val="00BE3FBB"/>
    <w:rsid w:val="00C2217D"/>
    <w:rsid w:val="00C268CE"/>
    <w:rsid w:val="00C30726"/>
    <w:rsid w:val="00C72E1D"/>
    <w:rsid w:val="00C95C63"/>
    <w:rsid w:val="00CA0EEB"/>
    <w:rsid w:val="00CA6E36"/>
    <w:rsid w:val="00CB7AD9"/>
    <w:rsid w:val="00CC05A1"/>
    <w:rsid w:val="00CE6F28"/>
    <w:rsid w:val="00CF192F"/>
    <w:rsid w:val="00D060B3"/>
    <w:rsid w:val="00D37F8A"/>
    <w:rsid w:val="00D4497C"/>
    <w:rsid w:val="00D45D13"/>
    <w:rsid w:val="00D57B95"/>
    <w:rsid w:val="00DB073F"/>
    <w:rsid w:val="00DC0A68"/>
    <w:rsid w:val="00DC3968"/>
    <w:rsid w:val="00DC7BC4"/>
    <w:rsid w:val="00DE0534"/>
    <w:rsid w:val="00DE44E2"/>
    <w:rsid w:val="00E24698"/>
    <w:rsid w:val="00E24AE9"/>
    <w:rsid w:val="00E326CD"/>
    <w:rsid w:val="00E349AB"/>
    <w:rsid w:val="00EB3371"/>
    <w:rsid w:val="00EE69DE"/>
    <w:rsid w:val="00EF6217"/>
    <w:rsid w:val="00F264CF"/>
    <w:rsid w:val="00F4115B"/>
    <w:rsid w:val="00F4336E"/>
    <w:rsid w:val="00F4471D"/>
    <w:rsid w:val="00F8604C"/>
    <w:rsid w:val="00F93210"/>
    <w:rsid w:val="00FC5CC2"/>
    <w:rsid w:val="00FE0EC0"/>
    <w:rsid w:val="00FF3CF9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c1c1e"/>
    </o:shapedefaults>
    <o:shapelayout v:ext="edit">
      <o:idmap v:ext="edit" data="2"/>
    </o:shapelayout>
  </w:shapeDefaults>
  <w:decimalSymbol w:val=","/>
  <w:listSeparator w:val=";"/>
  <w14:docId w14:val="56404888"/>
  <w15:docId w15:val="{889714C7-CC30-4EFB-AD54-6BBCFAD2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/>
    <w:lsdException w:name="Intense Emphasis" w:uiPriority="2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6975"/>
    <w:pPr>
      <w:spacing w:before="160" w:after="160"/>
    </w:pPr>
    <w:rPr>
      <w:rFonts w:ascii="Source Sans Pro" w:hAnsi="Source Sans Pro"/>
      <w:sz w:val="20"/>
    </w:rPr>
  </w:style>
  <w:style w:type="paragraph" w:styleId="Nadpis1">
    <w:name w:val="heading 1"/>
    <w:aliases w:val="Nadpis 1 - Nadpis"/>
    <w:basedOn w:val="Normln"/>
    <w:next w:val="Normln"/>
    <w:link w:val="Nadpis1Char"/>
    <w:uiPriority w:val="9"/>
    <w:qFormat/>
    <w:rsid w:val="00C268CE"/>
    <w:pPr>
      <w:keepLines/>
      <w:spacing w:before="280"/>
      <w:outlineLvl w:val="0"/>
    </w:pPr>
    <w:rPr>
      <w:rFonts w:eastAsiaTheme="majorEastAsia" w:cstheme="majorBidi"/>
      <w:bCs/>
      <w:color w:val="002E34"/>
      <w:sz w:val="36"/>
      <w:szCs w:val="32"/>
    </w:rPr>
  </w:style>
  <w:style w:type="paragraph" w:styleId="Nadpis2">
    <w:name w:val="heading 2"/>
    <w:aliases w:val="Nadpis 2 - Podnadpis"/>
    <w:basedOn w:val="Normln"/>
    <w:next w:val="Normln"/>
    <w:link w:val="Nadpis2Char"/>
    <w:uiPriority w:val="9"/>
    <w:unhideWhenUsed/>
    <w:qFormat/>
    <w:rsid w:val="00C268CE"/>
    <w:pPr>
      <w:keepLines/>
      <w:spacing w:before="280"/>
      <w:outlineLvl w:val="1"/>
    </w:pPr>
    <w:rPr>
      <w:rFonts w:eastAsiaTheme="majorEastAsia" w:cstheme="majorBidi"/>
      <w:bCs/>
      <w:color w:val="00AFDB"/>
      <w:sz w:val="28"/>
      <w:szCs w:val="26"/>
    </w:rPr>
  </w:style>
  <w:style w:type="paragraph" w:styleId="Nadpis3">
    <w:name w:val="heading 3"/>
    <w:aliases w:val="Nadpis 3 - Malý nadpis"/>
    <w:basedOn w:val="Normln"/>
    <w:next w:val="Normln"/>
    <w:link w:val="Nadpis3Char"/>
    <w:uiPriority w:val="9"/>
    <w:unhideWhenUsed/>
    <w:qFormat/>
    <w:rsid w:val="00C268CE"/>
    <w:pPr>
      <w:keepLines/>
      <w:spacing w:before="280"/>
      <w:outlineLvl w:val="2"/>
    </w:pPr>
    <w:rPr>
      <w:rFonts w:ascii="Source Sans Pro Semibold" w:eastAsiaTheme="majorEastAsia" w:hAnsi="Source Sans Pro Semibold" w:cstheme="majorBidi"/>
      <w:bCs/>
      <w:color w:val="002E34"/>
      <w:sz w:val="24"/>
    </w:rPr>
  </w:style>
  <w:style w:type="paragraph" w:styleId="Nadpis4">
    <w:name w:val="heading 4"/>
    <w:aliases w:val="Nadpis 4 - titulek"/>
    <w:basedOn w:val="Normln"/>
    <w:next w:val="Normln"/>
    <w:link w:val="Nadpis4Char"/>
    <w:uiPriority w:val="9"/>
    <w:unhideWhenUsed/>
    <w:qFormat/>
    <w:rsid w:val="00C268CE"/>
    <w:pPr>
      <w:keepNext/>
      <w:keepLines/>
      <w:spacing w:before="240"/>
      <w:outlineLvl w:val="3"/>
    </w:pPr>
    <w:rPr>
      <w:b/>
      <w:i/>
      <w:color w:val="00AFDB" w:themeColor="background2"/>
      <w:sz w:val="22"/>
    </w:rPr>
  </w:style>
  <w:style w:type="paragraph" w:styleId="Nadpis5">
    <w:name w:val="heading 5"/>
    <w:aliases w:val="Nadpis 5 - Podtitulek"/>
    <w:basedOn w:val="Normln"/>
    <w:next w:val="Normln"/>
    <w:link w:val="Nadpis5Char"/>
    <w:uiPriority w:val="9"/>
    <w:unhideWhenUsed/>
    <w:qFormat/>
    <w:rsid w:val="00C268CE"/>
    <w:pPr>
      <w:keepNext/>
      <w:keepLines/>
      <w:outlineLvl w:val="4"/>
    </w:pPr>
    <w:rPr>
      <w:rFonts w:asciiTheme="majorHAnsi" w:eastAsiaTheme="majorEastAsia" w:hAnsiTheme="majorHAnsi" w:cstheme="majorBidi"/>
      <w:b/>
      <w:color w:val="002E34" w:themeColor="text1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68C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8CE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8CE"/>
    <w:rPr>
      <w:rFonts w:ascii="Source Sans Pro" w:hAnsi="Source Sans Pro"/>
      <w:sz w:val="20"/>
    </w:rPr>
  </w:style>
  <w:style w:type="paragraph" w:styleId="Zpat">
    <w:name w:val="footer"/>
    <w:basedOn w:val="Normln"/>
    <w:link w:val="Zpat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8CE"/>
    <w:rPr>
      <w:rFonts w:ascii="Source Sans Pro" w:hAnsi="Source Sans Pro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C268CE"/>
  </w:style>
  <w:style w:type="character" w:customStyle="1" w:styleId="Nadpis1Char">
    <w:name w:val="Nadpis 1 Char"/>
    <w:aliases w:val="Nadpis 1 - Nadpis Char"/>
    <w:basedOn w:val="Standardnpsmoodstavce"/>
    <w:link w:val="Nadpis1"/>
    <w:uiPriority w:val="9"/>
    <w:rsid w:val="00C268CE"/>
    <w:rPr>
      <w:rFonts w:ascii="Source Sans Pro" w:eastAsiaTheme="majorEastAsia" w:hAnsi="Source Sans Pro" w:cstheme="majorBidi"/>
      <w:bCs/>
      <w:color w:val="002E34"/>
      <w:sz w:val="36"/>
      <w:szCs w:val="32"/>
    </w:rPr>
  </w:style>
  <w:style w:type="character" w:customStyle="1" w:styleId="Nadpis2Char">
    <w:name w:val="Nadpis 2 Char"/>
    <w:aliases w:val="Nadpis 2 - Podnadpis Char"/>
    <w:basedOn w:val="Standardnpsmoodstavce"/>
    <w:link w:val="Nadpis2"/>
    <w:uiPriority w:val="9"/>
    <w:rsid w:val="00C268CE"/>
    <w:rPr>
      <w:rFonts w:ascii="Source Sans Pro" w:eastAsiaTheme="majorEastAsia" w:hAnsi="Source Sans Pro" w:cstheme="majorBidi"/>
      <w:bCs/>
      <w:color w:val="00AFDB"/>
      <w:sz w:val="28"/>
      <w:szCs w:val="26"/>
    </w:rPr>
  </w:style>
  <w:style w:type="paragraph" w:styleId="Bezmezer">
    <w:name w:val="No Spacing"/>
    <w:uiPriority w:val="1"/>
    <w:rsid w:val="00C268CE"/>
    <w:rPr>
      <w:rFonts w:ascii="Source Sans Pro" w:hAnsi="Source Sans Pro"/>
      <w:sz w:val="20"/>
    </w:rPr>
  </w:style>
  <w:style w:type="paragraph" w:styleId="Nzev">
    <w:name w:val="Title"/>
    <w:aliases w:val="Název - Titul"/>
    <w:basedOn w:val="Normln"/>
    <w:next w:val="Podnadpis"/>
    <w:link w:val="NzevChar"/>
    <w:uiPriority w:val="10"/>
    <w:qFormat/>
    <w:rsid w:val="00C268CE"/>
    <w:pPr>
      <w:spacing w:before="0"/>
      <w:contextualSpacing/>
    </w:pPr>
    <w:rPr>
      <w:rFonts w:eastAsiaTheme="majorEastAsia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NzevChar">
    <w:name w:val="Název Char"/>
    <w:aliases w:val="Název - Titul Char"/>
    <w:basedOn w:val="Standardnpsmoodstavce"/>
    <w:link w:val="Nzev"/>
    <w:uiPriority w:val="10"/>
    <w:rsid w:val="00C268CE"/>
    <w:rPr>
      <w:rFonts w:ascii="Source Sans Pro" w:eastAsiaTheme="majorEastAsia" w:hAnsi="Source Sans Pro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Nadpis3Char">
    <w:name w:val="Nadpis 3 Char"/>
    <w:aliases w:val="Nadpis 3 - Malý nadpis Char"/>
    <w:basedOn w:val="Standardnpsmoodstavce"/>
    <w:link w:val="Nadpis3"/>
    <w:uiPriority w:val="9"/>
    <w:rsid w:val="00C268CE"/>
    <w:rPr>
      <w:rFonts w:ascii="Source Sans Pro Semibold" w:eastAsiaTheme="majorEastAsia" w:hAnsi="Source Sans Pro Semibold" w:cstheme="majorBidi"/>
      <w:bCs/>
      <w:color w:val="002E34"/>
    </w:rPr>
  </w:style>
  <w:style w:type="paragraph" w:styleId="Podnadpis">
    <w:name w:val="Subtitle"/>
    <w:aliases w:val="Název - Podtitul"/>
    <w:basedOn w:val="Normln"/>
    <w:next w:val="Normln"/>
    <w:link w:val="PodnadpisChar"/>
    <w:uiPriority w:val="11"/>
    <w:qFormat/>
    <w:rsid w:val="00C268CE"/>
    <w:pPr>
      <w:spacing w:before="120" w:after="400"/>
    </w:pPr>
    <w:rPr>
      <w:color w:val="00AFDB" w:themeColor="background2"/>
      <w:sz w:val="36"/>
    </w:rPr>
  </w:style>
  <w:style w:type="character" w:customStyle="1" w:styleId="PodnadpisChar">
    <w:name w:val="Podnadpis Char"/>
    <w:aliases w:val="Název - Podtitul Char"/>
    <w:basedOn w:val="Standardnpsmoodstavce"/>
    <w:link w:val="Podnadpis"/>
    <w:uiPriority w:val="11"/>
    <w:rsid w:val="00C268CE"/>
    <w:rPr>
      <w:rFonts w:ascii="Source Sans Pro" w:hAnsi="Source Sans Pro"/>
      <w:color w:val="00AFDB" w:themeColor="background2"/>
      <w:sz w:val="36"/>
    </w:rPr>
  </w:style>
  <w:style w:type="character" w:styleId="Zdraznnjemn">
    <w:name w:val="Subtle Emphasis"/>
    <w:basedOn w:val="Standardnpsmoodstavce"/>
    <w:uiPriority w:val="19"/>
    <w:rsid w:val="00C268CE"/>
    <w:rPr>
      <w:i/>
      <w:iCs/>
      <w:color w:val="1AE4FF" w:themeColor="text1" w:themeTint="7F"/>
    </w:rPr>
  </w:style>
  <w:style w:type="character" w:styleId="Zdraznnintenzivn">
    <w:name w:val="Intense Emphasis"/>
    <w:basedOn w:val="Standardnpsmoodstavce"/>
    <w:uiPriority w:val="21"/>
    <w:rsid w:val="00C268CE"/>
    <w:rPr>
      <w:b/>
      <w:bCs/>
      <w:i/>
      <w:iCs/>
      <w:color w:val="4555A5" w:themeColor="accent1"/>
    </w:rPr>
  </w:style>
  <w:style w:type="character" w:styleId="Zdraznn">
    <w:name w:val="Emphasis"/>
    <w:basedOn w:val="Standardnpsmoodstavce"/>
    <w:uiPriority w:val="20"/>
    <w:rsid w:val="00C268CE"/>
    <w:rPr>
      <w:i/>
      <w:iCs/>
    </w:rPr>
  </w:style>
  <w:style w:type="paragraph" w:customStyle="1" w:styleId="NzevTitul">
    <w:name w:val="Název / Titul"/>
    <w:basedOn w:val="Nzev"/>
    <w:rsid w:val="00C268CE"/>
    <w:rPr>
      <w:b w:val="0"/>
      <w:caps w:val="0"/>
    </w:rPr>
  </w:style>
  <w:style w:type="paragraph" w:customStyle="1" w:styleId="Podtitul">
    <w:name w:val="Podtitul"/>
    <w:basedOn w:val="Nadpis2"/>
    <w:rsid w:val="00C268CE"/>
    <w:pPr>
      <w:spacing w:before="120" w:after="400"/>
    </w:pPr>
    <w:rPr>
      <w:sz w:val="36"/>
    </w:rPr>
  </w:style>
  <w:style w:type="paragraph" w:customStyle="1" w:styleId="AutorDatum">
    <w:name w:val="Autor / Datum"/>
    <w:basedOn w:val="Nadpis3"/>
    <w:qFormat/>
    <w:rsid w:val="00C268CE"/>
    <w:pPr>
      <w:spacing w:before="120" w:after="200"/>
    </w:pPr>
    <w:rPr>
      <w:rFonts w:ascii="Source Sans Pro" w:hAnsi="Source Sans Pro"/>
      <w:sz w:val="28"/>
    </w:rPr>
  </w:style>
  <w:style w:type="paragraph" w:styleId="Odstavecseseznamem">
    <w:name w:val="List Paragraph"/>
    <w:basedOn w:val="Normln"/>
    <w:link w:val="OdstavecseseznamemChar"/>
    <w:uiPriority w:val="34"/>
    <w:rsid w:val="00C268C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268CE"/>
    <w:rPr>
      <w:rFonts w:ascii="Source Sans Pro" w:hAnsi="Source Sans Pro"/>
      <w:sz w:val="20"/>
    </w:rPr>
  </w:style>
  <w:style w:type="paragraph" w:customStyle="1" w:styleId="slovanseznam1">
    <w:name w:val="Číslovaný seznam 1"/>
    <w:basedOn w:val="Odstavecseseznamem"/>
    <w:link w:val="slovanseznam1Char"/>
    <w:qFormat/>
    <w:rsid w:val="00C268CE"/>
    <w:pPr>
      <w:numPr>
        <w:numId w:val="20"/>
      </w:numPr>
      <w:spacing w:before="0" w:after="0"/>
    </w:pPr>
  </w:style>
  <w:style w:type="character" w:customStyle="1" w:styleId="slovanseznam1Char">
    <w:name w:val="Číslovaný seznam 1 Char"/>
    <w:basedOn w:val="OdstavecseseznamemChar"/>
    <w:link w:val="slovanseznam1"/>
    <w:rsid w:val="00C268CE"/>
    <w:rPr>
      <w:rFonts w:ascii="Source Sans Pro" w:hAnsi="Source Sans Pro"/>
      <w:sz w:val="20"/>
    </w:rPr>
  </w:style>
  <w:style w:type="paragraph" w:customStyle="1" w:styleId="slovanseznam21">
    <w:name w:val="Číslovaný seznam 21"/>
    <w:basedOn w:val="Odstavecseseznamem"/>
    <w:link w:val="slovanseznam2Char"/>
    <w:qFormat/>
    <w:rsid w:val="00C268CE"/>
    <w:pPr>
      <w:numPr>
        <w:ilvl w:val="1"/>
        <w:numId w:val="20"/>
      </w:numPr>
      <w:spacing w:before="0" w:after="0"/>
    </w:pPr>
  </w:style>
  <w:style w:type="character" w:customStyle="1" w:styleId="slovanseznam2Char">
    <w:name w:val="Číslovaný seznam 2 Char"/>
    <w:basedOn w:val="OdstavecseseznamemChar"/>
    <w:link w:val="slovanseznam21"/>
    <w:rsid w:val="00C268CE"/>
    <w:rPr>
      <w:rFonts w:ascii="Source Sans Pro" w:hAnsi="Source Sans Pro"/>
      <w:sz w:val="20"/>
    </w:rPr>
  </w:style>
  <w:style w:type="paragraph" w:customStyle="1" w:styleId="slovanseznam31">
    <w:name w:val="Číslovaný seznam 31"/>
    <w:basedOn w:val="Odstavecseseznamem"/>
    <w:link w:val="slovanseznam3Char"/>
    <w:qFormat/>
    <w:rsid w:val="00C268CE"/>
    <w:pPr>
      <w:numPr>
        <w:ilvl w:val="2"/>
        <w:numId w:val="20"/>
      </w:numPr>
      <w:spacing w:before="0" w:after="0"/>
    </w:pPr>
  </w:style>
  <w:style w:type="character" w:customStyle="1" w:styleId="slovanseznam3Char">
    <w:name w:val="Číslovaný seznam 3 Char"/>
    <w:basedOn w:val="OdstavecseseznamemChar"/>
    <w:link w:val="slovanseznam31"/>
    <w:rsid w:val="00C268CE"/>
    <w:rPr>
      <w:rFonts w:ascii="Source Sans Pro" w:hAnsi="Source Sans Pro"/>
      <w:sz w:val="20"/>
    </w:rPr>
  </w:style>
  <w:style w:type="paragraph" w:customStyle="1" w:styleId="slovanseznam41">
    <w:name w:val="Číslovaný seznam 41"/>
    <w:basedOn w:val="Odstavecseseznamem"/>
    <w:link w:val="slovanseznam4Char"/>
    <w:qFormat/>
    <w:rsid w:val="00C268CE"/>
    <w:pPr>
      <w:numPr>
        <w:ilvl w:val="3"/>
        <w:numId w:val="20"/>
      </w:numPr>
      <w:spacing w:before="0" w:after="0"/>
    </w:pPr>
  </w:style>
  <w:style w:type="character" w:customStyle="1" w:styleId="slovanseznam4Char">
    <w:name w:val="Číslovaný seznam 4 Char"/>
    <w:basedOn w:val="OdstavecseseznamemChar"/>
    <w:link w:val="slovanseznam41"/>
    <w:rsid w:val="00C268CE"/>
    <w:rPr>
      <w:rFonts w:ascii="Source Sans Pro" w:hAnsi="Source Sans Pro"/>
      <w:sz w:val="20"/>
    </w:rPr>
  </w:style>
  <w:style w:type="paragraph" w:customStyle="1" w:styleId="slovanseznam51">
    <w:name w:val="Číslovaný seznam 51"/>
    <w:basedOn w:val="Odstavecseseznamem"/>
    <w:link w:val="slovanseznam5Char"/>
    <w:qFormat/>
    <w:rsid w:val="00C268CE"/>
    <w:pPr>
      <w:numPr>
        <w:ilvl w:val="4"/>
        <w:numId w:val="20"/>
      </w:numPr>
      <w:spacing w:before="0" w:after="0"/>
    </w:pPr>
  </w:style>
  <w:style w:type="character" w:customStyle="1" w:styleId="slovanseznam5Char">
    <w:name w:val="Číslovaný seznam 5 Char"/>
    <w:basedOn w:val="OdstavecseseznamemChar"/>
    <w:link w:val="slovanseznam51"/>
    <w:rsid w:val="00C268CE"/>
    <w:rPr>
      <w:rFonts w:ascii="Source Sans Pro" w:hAnsi="Source Sans Pro"/>
      <w:sz w:val="20"/>
    </w:rPr>
  </w:style>
  <w:style w:type="paragraph" w:customStyle="1" w:styleId="slovanseznam6">
    <w:name w:val="Číslovaný seznam 6"/>
    <w:basedOn w:val="Odstavecseseznamem"/>
    <w:link w:val="slovanseznam6Char"/>
    <w:qFormat/>
    <w:rsid w:val="00C268CE"/>
    <w:pPr>
      <w:numPr>
        <w:ilvl w:val="5"/>
        <w:numId w:val="20"/>
      </w:numPr>
      <w:spacing w:before="0" w:after="0"/>
    </w:pPr>
  </w:style>
  <w:style w:type="character" w:customStyle="1" w:styleId="slovanseznam6Char">
    <w:name w:val="Číslovaný seznam 6 Char"/>
    <w:basedOn w:val="OdstavecseseznamemChar"/>
    <w:link w:val="slovanseznam6"/>
    <w:rsid w:val="00C268CE"/>
    <w:rPr>
      <w:rFonts w:ascii="Source Sans Pro" w:hAnsi="Source Sans Pro"/>
      <w:sz w:val="20"/>
    </w:rPr>
  </w:style>
  <w:style w:type="character" w:customStyle="1" w:styleId="Nadpis4Char">
    <w:name w:val="Nadpis 4 Char"/>
    <w:aliases w:val="Nadpis 4 - titulek Char"/>
    <w:basedOn w:val="Standardnpsmoodstavce"/>
    <w:link w:val="Nadpis4"/>
    <w:uiPriority w:val="9"/>
    <w:rsid w:val="00C268CE"/>
    <w:rPr>
      <w:rFonts w:ascii="Source Sans Pro" w:hAnsi="Source Sans Pro"/>
      <w:b/>
      <w:i/>
      <w:color w:val="00AFDB" w:themeColor="background2"/>
      <w:sz w:val="22"/>
    </w:rPr>
  </w:style>
  <w:style w:type="character" w:customStyle="1" w:styleId="Nadpis5Char">
    <w:name w:val="Nadpis 5 Char"/>
    <w:aliases w:val="Nadpis 5 - Podtitulek Char"/>
    <w:basedOn w:val="Standardnpsmoodstavce"/>
    <w:link w:val="Nadpis5"/>
    <w:uiPriority w:val="9"/>
    <w:rsid w:val="00C268CE"/>
    <w:rPr>
      <w:rFonts w:asciiTheme="majorHAnsi" w:eastAsiaTheme="majorEastAsia" w:hAnsiTheme="majorHAnsi" w:cstheme="majorBidi"/>
      <w:b/>
      <w:color w:val="002E34" w:themeColor="text1"/>
      <w:sz w:val="20"/>
      <w:u w:val="single"/>
    </w:rPr>
  </w:style>
  <w:style w:type="numbering" w:customStyle="1" w:styleId="Seznamsodrkami1">
    <w:name w:val="Seznam s odrážkami1"/>
    <w:uiPriority w:val="99"/>
    <w:rsid w:val="00C268CE"/>
    <w:pPr>
      <w:numPr>
        <w:numId w:val="8"/>
      </w:numPr>
    </w:pPr>
  </w:style>
  <w:style w:type="paragraph" w:customStyle="1" w:styleId="Seznamsodrkami10">
    <w:name w:val="Seznam s odrážkami 1"/>
    <w:basedOn w:val="Odstavecseseznamem"/>
    <w:link w:val="Seznamsodrkami1Char"/>
    <w:qFormat/>
    <w:rsid w:val="00C268CE"/>
    <w:pPr>
      <w:numPr>
        <w:numId w:val="27"/>
      </w:numPr>
      <w:spacing w:before="0" w:after="0"/>
    </w:pPr>
  </w:style>
  <w:style w:type="character" w:customStyle="1" w:styleId="Seznamsodrkami1Char">
    <w:name w:val="Seznam s odrážkami 1 Char"/>
    <w:basedOn w:val="OdstavecseseznamemChar"/>
    <w:link w:val="Seznamsodrkami10"/>
    <w:rsid w:val="00C268CE"/>
    <w:rPr>
      <w:rFonts w:ascii="Source Sans Pro" w:hAnsi="Source Sans Pro"/>
      <w:sz w:val="20"/>
    </w:rPr>
  </w:style>
  <w:style w:type="paragraph" w:customStyle="1" w:styleId="Seznamsodrkami21">
    <w:name w:val="Seznam s odrážkami 21"/>
    <w:basedOn w:val="Odstavecseseznamem"/>
    <w:link w:val="Seznamsodrkami2Char"/>
    <w:qFormat/>
    <w:rsid w:val="00C268CE"/>
    <w:pPr>
      <w:numPr>
        <w:ilvl w:val="1"/>
        <w:numId w:val="27"/>
      </w:numPr>
      <w:spacing w:before="0" w:after="0"/>
    </w:pPr>
  </w:style>
  <w:style w:type="character" w:customStyle="1" w:styleId="Seznamsodrkami2Char">
    <w:name w:val="Seznam s odrážkami 2 Char"/>
    <w:basedOn w:val="OdstavecseseznamemChar"/>
    <w:link w:val="Seznamsodrkami21"/>
    <w:rsid w:val="00C268CE"/>
    <w:rPr>
      <w:rFonts w:ascii="Source Sans Pro" w:hAnsi="Source Sans Pro"/>
      <w:sz w:val="20"/>
    </w:rPr>
  </w:style>
  <w:style w:type="paragraph" w:customStyle="1" w:styleId="Seznamsodrkami31">
    <w:name w:val="Seznam s odrážkami 31"/>
    <w:basedOn w:val="Odstavecseseznamem"/>
    <w:link w:val="Seznamsodrkami3Char"/>
    <w:qFormat/>
    <w:rsid w:val="00C268CE"/>
    <w:pPr>
      <w:numPr>
        <w:ilvl w:val="2"/>
        <w:numId w:val="27"/>
      </w:numPr>
      <w:spacing w:before="0" w:after="0"/>
    </w:pPr>
  </w:style>
  <w:style w:type="character" w:customStyle="1" w:styleId="Seznamsodrkami3Char">
    <w:name w:val="Seznam s odrážkami 3 Char"/>
    <w:basedOn w:val="OdstavecseseznamemChar"/>
    <w:link w:val="Seznamsodrkami31"/>
    <w:rsid w:val="00C268CE"/>
    <w:rPr>
      <w:rFonts w:ascii="Source Sans Pro" w:hAnsi="Source Sans Pro"/>
      <w:sz w:val="20"/>
    </w:rPr>
  </w:style>
  <w:style w:type="paragraph" w:customStyle="1" w:styleId="Seznamsodrkami41">
    <w:name w:val="Seznam s odrážkami 41"/>
    <w:basedOn w:val="Odstavecseseznamem"/>
    <w:link w:val="Seznamsodrkami4Char"/>
    <w:qFormat/>
    <w:rsid w:val="00C268CE"/>
    <w:pPr>
      <w:numPr>
        <w:ilvl w:val="3"/>
        <w:numId w:val="27"/>
      </w:numPr>
      <w:spacing w:before="0" w:after="0"/>
    </w:pPr>
  </w:style>
  <w:style w:type="character" w:customStyle="1" w:styleId="Seznamsodrkami4Char">
    <w:name w:val="Seznam s odrážkami 4 Char"/>
    <w:basedOn w:val="OdstavecseseznamemChar"/>
    <w:link w:val="Seznamsodrkami41"/>
    <w:rsid w:val="00C268CE"/>
    <w:rPr>
      <w:rFonts w:ascii="Source Sans Pro" w:hAnsi="Source Sans Pro"/>
      <w:sz w:val="20"/>
    </w:rPr>
  </w:style>
  <w:style w:type="paragraph" w:customStyle="1" w:styleId="Seznamsodrkami51">
    <w:name w:val="Seznam s odrážkami 51"/>
    <w:basedOn w:val="Odstavecseseznamem"/>
    <w:link w:val="Seznamsodrkami5Char"/>
    <w:qFormat/>
    <w:rsid w:val="00C268CE"/>
    <w:pPr>
      <w:numPr>
        <w:ilvl w:val="4"/>
        <w:numId w:val="27"/>
      </w:numPr>
      <w:spacing w:before="0" w:after="0"/>
    </w:pPr>
  </w:style>
  <w:style w:type="character" w:customStyle="1" w:styleId="Seznamsodrkami5Char">
    <w:name w:val="Seznam s odrážkami 5 Char"/>
    <w:basedOn w:val="OdstavecseseznamemChar"/>
    <w:link w:val="Seznamsodrkami51"/>
    <w:rsid w:val="00C268CE"/>
    <w:rPr>
      <w:rFonts w:ascii="Source Sans Pro" w:hAnsi="Source Sans Pro"/>
      <w:sz w:val="20"/>
    </w:rPr>
  </w:style>
  <w:style w:type="paragraph" w:customStyle="1" w:styleId="Seznamsodrkami6">
    <w:name w:val="Seznam s odrážkami 6"/>
    <w:basedOn w:val="Odstavecseseznamem"/>
    <w:link w:val="Seznamsodrkami6Char"/>
    <w:qFormat/>
    <w:rsid w:val="00C268CE"/>
    <w:pPr>
      <w:numPr>
        <w:ilvl w:val="5"/>
        <w:numId w:val="27"/>
      </w:numPr>
      <w:spacing w:before="0" w:after="0"/>
    </w:pPr>
  </w:style>
  <w:style w:type="character" w:customStyle="1" w:styleId="Seznamsodrkami6Char">
    <w:name w:val="Seznam s odrážkami 6 Char"/>
    <w:basedOn w:val="OdstavecseseznamemChar"/>
    <w:link w:val="Seznamsodrkami6"/>
    <w:rsid w:val="00C268CE"/>
    <w:rPr>
      <w:rFonts w:ascii="Source Sans Pro" w:hAnsi="Source Sans Pro"/>
      <w:sz w:val="20"/>
    </w:rPr>
  </w:style>
  <w:style w:type="character" w:styleId="Hypertextovodkaz">
    <w:name w:val="Hyperlink"/>
    <w:basedOn w:val="Standardnpsmoodstavce"/>
    <w:unhideWhenUsed/>
    <w:rsid w:val="00EB3371"/>
    <w:rPr>
      <w:color w:val="4555A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337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EB3371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3371"/>
    <w:rPr>
      <w:rFonts w:ascii="Source Sans Pro" w:hAnsi="Source Sans Pro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EB3371"/>
    <w:rPr>
      <w:vertAlign w:val="superscript"/>
    </w:rPr>
  </w:style>
  <w:style w:type="paragraph" w:styleId="Bibliografie">
    <w:name w:val="Bibliography"/>
    <w:basedOn w:val="Normln"/>
    <w:next w:val="Normln"/>
    <w:unhideWhenUsed/>
    <w:rsid w:val="0010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ctuaria">
  <a:themeElements>
    <a:clrScheme name="CSpA">
      <a:dk1>
        <a:srgbClr val="002E34"/>
      </a:dk1>
      <a:lt1>
        <a:srgbClr val="FFFFFF"/>
      </a:lt1>
      <a:dk2>
        <a:srgbClr val="008576"/>
      </a:dk2>
      <a:lt2>
        <a:srgbClr val="00AFDB"/>
      </a:lt2>
      <a:accent1>
        <a:srgbClr val="4555A5"/>
      </a:accent1>
      <a:accent2>
        <a:srgbClr val="973F98"/>
      </a:accent2>
      <a:accent3>
        <a:srgbClr val="F2652A"/>
      </a:accent3>
      <a:accent4>
        <a:srgbClr val="FBBF13"/>
      </a:accent4>
      <a:accent5>
        <a:srgbClr val="CDDC35"/>
      </a:accent5>
      <a:accent6>
        <a:srgbClr val="51B04C"/>
      </a:accent6>
      <a:hlink>
        <a:srgbClr val="4555A5"/>
      </a:hlink>
      <a:folHlink>
        <a:srgbClr val="478ECC"/>
      </a:folHlink>
    </a:clrScheme>
    <a:fontScheme name="Actuari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tuaria" id="{0EC21E06-0321-41ED-B7C9-AD59C034E45D}" vid="{836E13C5-6801-4F47-A984-9C87F68E3D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IAA08</b:Tag>
    <b:SourceType>InternetSite</b:SourceType>
    <b:Guid>{5370C5A1-3DEF-4534-B188-ACDA88723E12}</b:Guid>
    <b:Author>
      <b:Author>
        <b:NameList>
          <b:Person>
            <b:Last>IAA</b:Last>
          </b:Person>
        </b:NameList>
      </b:Author>
    </b:Author>
    <b:Title>International Actuarial Association Decennial Report</b:Title>
    <b:ProductionCompany>International Actuarial Association</b:ProductionCompany>
    <b:Year>2008</b:Year>
    <b:Month>5</b:Month>
    <b:YearAccessed>2022</b:YearAccessed>
    <b:MonthAccessed>11</b:MonthAccessed>
    <b:DayAccessed>17</b:DayAccessed>
    <b:URL>https://www.actuaries.org/iaa/IAA/Publications/Annual_Reports/IAA/Publications/Annual_Reports_Landing.aspx?hkey=7434ca08-7554-4bf9-9295-071bffc7139f</b:URL>
    <b:RefOrder>1</b:RefOrder>
  </b:Source>
  <b:Source>
    <b:Tag>htt</b:Tag>
    <b:SourceType>InternetSite</b:SourceType>
    <b:Guid>{720FA85F-0716-43FE-ACEF-7882D31AE683}</b:Guid>
    <b:URL>https://actuaries.org.uk/about-us/honorary-fellows/</b:URL>
    <b:Author>
      <b:Author>
        <b:NameList>
          <b:Person>
            <b:Last>IFoA</b:Last>
          </b:Person>
        </b:NameList>
      </b:Author>
    </b:Author>
    <b:Title>Honorary Fellows of the Institute and Faculty of Actuaries</b:Title>
    <b:Year>2022</b:Year>
    <b:Month>11</b:Month>
    <b:YearAccessed>2022</b:YearAccessed>
    <b:MonthAccessed>11</b:MonthAccessed>
    <b:DayAccessed>17</b:DayAccessed>
    <b:RefOrder>2</b:RefOrder>
  </b:Source>
</b:Sources>
</file>

<file path=customXml/itemProps1.xml><?xml version="1.0" encoding="utf-8"?>
<ds:datastoreItem xmlns:ds="http://schemas.openxmlformats.org/officeDocument/2006/customXml" ds:itemID="{F5189E8A-8238-4F56-B3F5-390CF5E2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2257</Words>
  <Characters>13319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</dc:creator>
  <cp:lastModifiedBy>Jan Šváb</cp:lastModifiedBy>
  <cp:revision>136</cp:revision>
  <dcterms:created xsi:type="dcterms:W3CDTF">2018-02-11T22:20:00Z</dcterms:created>
  <dcterms:modified xsi:type="dcterms:W3CDTF">2022-11-17T22:21:00Z</dcterms:modified>
</cp:coreProperties>
</file>